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b/>
          <w:sz w:val="48"/>
          <w:szCs w:val="44"/>
        </w:rPr>
      </w:pPr>
    </w:p>
    <w:p>
      <w:pPr>
        <w:ind w:firstLine="0" w:firstLineChars="0"/>
        <w:jc w:val="center"/>
        <w:rPr>
          <w:rFonts w:ascii="宋体" w:hAnsi="宋体" w:eastAsia="宋体"/>
          <w:b/>
          <w:sz w:val="48"/>
          <w:szCs w:val="44"/>
        </w:rPr>
      </w:pPr>
      <w:r>
        <w:rPr>
          <w:rFonts w:hint="eastAsia" w:ascii="宋体" w:hAnsi="宋体" w:eastAsia="宋体"/>
          <w:b/>
          <w:sz w:val="48"/>
          <w:szCs w:val="44"/>
        </w:rPr>
        <w:t>2020年承德市公安局路面科技动态</w:t>
      </w:r>
    </w:p>
    <w:p>
      <w:pPr>
        <w:ind w:firstLine="0" w:firstLineChars="0"/>
        <w:jc w:val="center"/>
        <w:rPr>
          <w:rFonts w:ascii="宋体" w:hAnsi="宋体" w:eastAsia="宋体"/>
          <w:b/>
          <w:sz w:val="48"/>
          <w:szCs w:val="44"/>
        </w:rPr>
      </w:pPr>
      <w:r>
        <w:rPr>
          <w:rFonts w:hint="eastAsia" w:ascii="宋体" w:hAnsi="宋体" w:eastAsia="宋体"/>
          <w:b/>
          <w:sz w:val="48"/>
          <w:szCs w:val="44"/>
        </w:rPr>
        <w:t>防控工程项目财政支出</w:t>
      </w:r>
    </w:p>
    <w:p>
      <w:pPr>
        <w:ind w:firstLine="964"/>
        <w:jc w:val="center"/>
        <w:rPr>
          <w:rFonts w:ascii="宋体" w:hAnsi="宋体" w:eastAsia="宋体"/>
          <w:b/>
          <w:sz w:val="48"/>
          <w:szCs w:val="44"/>
        </w:rPr>
      </w:pPr>
    </w:p>
    <w:p>
      <w:pPr>
        <w:jc w:val="center"/>
        <w:rPr>
          <w:rFonts w:ascii="宋体" w:hAnsi="宋体" w:eastAsia="宋体"/>
          <w:b/>
          <w:sz w:val="44"/>
          <w:szCs w:val="44"/>
        </w:rPr>
      </w:pPr>
    </w:p>
    <w:p>
      <w:pPr>
        <w:jc w:val="center"/>
        <w:rPr>
          <w:rFonts w:ascii="宋体" w:hAnsi="宋体" w:eastAsia="宋体"/>
          <w:b/>
          <w:sz w:val="44"/>
          <w:szCs w:val="44"/>
        </w:rPr>
      </w:pPr>
    </w:p>
    <w:p>
      <w:pPr>
        <w:ind w:firstLine="0" w:firstLineChars="0"/>
        <w:jc w:val="center"/>
        <w:rPr>
          <w:rFonts w:ascii="黑体" w:hAnsi="黑体" w:eastAsia="黑体"/>
          <w:b/>
          <w:sz w:val="36"/>
        </w:rPr>
      </w:pPr>
      <w:r>
        <w:rPr>
          <w:rFonts w:hint="eastAsia" w:ascii="宋体" w:hAnsi="宋体" w:eastAsia="宋体"/>
          <w:b/>
          <w:bCs/>
          <w:sz w:val="72"/>
          <w:szCs w:val="72"/>
        </w:rPr>
        <w:t>绩效评价报告</w:t>
      </w:r>
    </w:p>
    <w:p>
      <w:pPr>
        <w:ind w:firstLine="723"/>
        <w:jc w:val="center"/>
        <w:rPr>
          <w:rFonts w:ascii="黑体" w:hAnsi="黑体" w:eastAsia="黑体"/>
          <w:b/>
          <w:sz w:val="36"/>
        </w:rPr>
      </w:pPr>
    </w:p>
    <w:p>
      <w:pPr>
        <w:ind w:firstLine="723"/>
        <w:jc w:val="center"/>
        <w:rPr>
          <w:rFonts w:ascii="黑体" w:hAnsi="黑体" w:eastAsia="黑体"/>
          <w:b/>
          <w:sz w:val="36"/>
        </w:rPr>
      </w:pPr>
    </w:p>
    <w:p>
      <w:pPr>
        <w:ind w:firstLine="723"/>
        <w:jc w:val="center"/>
        <w:rPr>
          <w:rFonts w:ascii="黑体" w:hAnsi="黑体" w:eastAsia="黑体"/>
          <w:b/>
          <w:sz w:val="36"/>
        </w:rPr>
      </w:pPr>
    </w:p>
    <w:p>
      <w:pPr>
        <w:ind w:firstLine="0" w:firstLineChars="0"/>
        <w:rPr>
          <w:rFonts w:ascii="黑体" w:hAnsi="黑体" w:eastAsia="黑体"/>
          <w:b/>
          <w:sz w:val="36"/>
        </w:rPr>
      </w:pPr>
    </w:p>
    <w:p>
      <w:pPr>
        <w:ind w:firstLine="723"/>
        <w:jc w:val="center"/>
        <w:rPr>
          <w:rFonts w:ascii="黑体" w:hAnsi="黑体" w:eastAsia="黑体"/>
          <w:b/>
          <w:sz w:val="36"/>
        </w:rPr>
      </w:pPr>
    </w:p>
    <w:p>
      <w:pPr>
        <w:ind w:firstLine="723"/>
        <w:jc w:val="center"/>
        <w:rPr>
          <w:rFonts w:ascii="黑体" w:hAnsi="黑体" w:eastAsia="黑体"/>
          <w:b/>
          <w:sz w:val="36"/>
        </w:rPr>
      </w:pPr>
    </w:p>
    <w:p>
      <w:pPr>
        <w:ind w:firstLine="0" w:firstLineChars="0"/>
        <w:jc w:val="center"/>
        <w:rPr>
          <w:rFonts w:ascii="黑体" w:hAnsi="黑体" w:eastAsia="黑体"/>
          <w:b/>
          <w:sz w:val="36"/>
        </w:rPr>
      </w:pPr>
      <w:r>
        <w:rPr>
          <w:rFonts w:hint="eastAsia" w:ascii="黑体" w:hAnsi="黑体" w:eastAsia="黑体"/>
          <w:b/>
          <w:sz w:val="36"/>
        </w:rPr>
        <w:t>北京国研科技咨询有限公司</w:t>
      </w:r>
    </w:p>
    <w:p>
      <w:pPr>
        <w:ind w:firstLine="0" w:firstLineChars="0"/>
        <w:jc w:val="center"/>
        <w:rPr>
          <w:rFonts w:ascii="仿宋_GB2312" w:hAnsi="仿宋_GB2312" w:cs="仿宋_GB2312"/>
        </w:rPr>
        <w:sectPr>
          <w:pgSz w:w="12240" w:h="15840"/>
          <w:pgMar w:top="1440" w:right="1800" w:bottom="1440" w:left="1800" w:header="720" w:footer="720" w:gutter="0"/>
          <w:pgNumType w:start="1"/>
          <w:cols w:space="720" w:num="1"/>
        </w:sectPr>
      </w:pPr>
      <w:r>
        <w:rPr>
          <w:rFonts w:hint="eastAsia" w:ascii="黑体" w:hAnsi="黑体" w:eastAsia="黑体"/>
          <w:b/>
          <w:sz w:val="36"/>
        </w:rPr>
        <w:t>2</w:t>
      </w:r>
      <w:r>
        <w:rPr>
          <w:rFonts w:ascii="黑体" w:hAnsi="黑体" w:eastAsia="黑体"/>
          <w:b/>
          <w:sz w:val="36"/>
        </w:rPr>
        <w:t>02</w:t>
      </w:r>
      <w:r>
        <w:rPr>
          <w:rFonts w:hint="eastAsia" w:ascii="黑体" w:hAnsi="黑体" w:eastAsia="黑体"/>
          <w:b/>
          <w:sz w:val="36"/>
        </w:rPr>
        <w:t>1年9月</w:t>
      </w:r>
    </w:p>
    <w:sdt>
      <w:sdtPr>
        <w:rPr>
          <w:rFonts w:hint="eastAsia" w:ascii="黑体" w:hAnsi="黑体" w:eastAsia="黑体" w:cs="黑体"/>
          <w:b/>
          <w:bCs/>
          <w:sz w:val="32"/>
          <w:szCs w:val="32"/>
        </w:rPr>
        <w:id w:val="147469024"/>
        <w:docPartObj>
          <w:docPartGallery w:val="Table of Contents"/>
          <w:docPartUnique/>
        </w:docPartObj>
      </w:sdtPr>
      <w:sdtEndPr>
        <w:rPr>
          <w:rFonts w:hint="eastAsia" w:eastAsia="仿宋_GB2312" w:asciiTheme="minorHAnsi" w:hAnsiTheme="minorHAnsi" w:cstheme="minorBidi"/>
          <w:b/>
          <w:bCs/>
          <w:kern w:val="44"/>
          <w:sz w:val="32"/>
          <w:szCs w:val="24"/>
        </w:rPr>
      </w:sdtEndPr>
      <w:sdtContent>
        <w:p>
          <w:pPr>
            <w:pStyle w:val="10"/>
            <w:spacing w:line="240" w:lineRule="auto"/>
            <w:ind w:firstLine="643"/>
            <w:jc w:val="center"/>
            <w:rPr>
              <w:rFonts w:hint="eastAsia" w:eastAsia="仿宋_GB2312" w:asciiTheme="minorHAnsi" w:hAnsiTheme="minorHAnsi" w:cstheme="minorBidi"/>
              <w:kern w:val="2"/>
              <w:sz w:val="28"/>
              <w:szCs w:val="24"/>
              <w:lang w:val="en-US" w:eastAsia="zh-CN" w:bidi="ar-SA"/>
            </w:rPr>
          </w:pPr>
          <w:bookmarkStart w:id="0" w:name="_Toc26597"/>
          <w:bookmarkStart w:id="1" w:name="_Toc27438"/>
          <w:r>
            <w:rPr>
              <w:rFonts w:hint="eastAsia" w:ascii="黑体" w:hAnsi="黑体" w:eastAsia="黑体" w:cs="黑体"/>
              <w:b/>
              <w:bCs/>
              <w:sz w:val="32"/>
              <w:szCs w:val="32"/>
            </w:rPr>
            <w:t>目 录</w:t>
          </w:r>
          <w:r>
            <w:rPr>
              <w:rFonts w:hint="eastAsia"/>
              <w:sz w:val="24"/>
            </w:rPr>
            <w:fldChar w:fldCharType="begin"/>
          </w:r>
          <w:r>
            <w:rPr>
              <w:rFonts w:hint="eastAsia"/>
              <w:sz w:val="24"/>
            </w:rPr>
            <w:instrText xml:space="preserve">TOC \o "1-2" \h \u </w:instrText>
          </w:r>
          <w:r>
            <w:rPr>
              <w:rFonts w:hint="eastAsia"/>
              <w:sz w:val="24"/>
            </w:rPr>
            <w:fldChar w:fldCharType="separate"/>
          </w:r>
        </w:p>
        <w:p>
          <w:pPr>
            <w:pStyle w:val="10"/>
            <w:tabs>
              <w:tab w:val="right" w:leader="dot" w:pos="8306"/>
            </w:tabs>
          </w:pPr>
          <w:r>
            <w:rPr>
              <w:rFonts w:hint="eastAsia"/>
            </w:rPr>
            <w:fldChar w:fldCharType="begin"/>
          </w:r>
          <w:r>
            <w:rPr>
              <w:rFonts w:hint="eastAsia"/>
            </w:rPr>
            <w:instrText xml:space="preserve"> HYPERLINK \l _Toc4953 </w:instrText>
          </w:r>
          <w:r>
            <w:rPr>
              <w:rFonts w:hint="eastAsia"/>
            </w:rPr>
            <w:fldChar w:fldCharType="separate"/>
          </w:r>
          <w:r>
            <w:rPr>
              <w:rFonts w:hint="eastAsia"/>
            </w:rPr>
            <w:t>一、 项目基本情况</w:t>
          </w:r>
          <w:r>
            <w:tab/>
          </w:r>
          <w:r>
            <w:fldChar w:fldCharType="begin"/>
          </w:r>
          <w:r>
            <w:instrText xml:space="preserve"> PAGEREF _Toc4953 \h </w:instrText>
          </w:r>
          <w:r>
            <w:fldChar w:fldCharType="separate"/>
          </w:r>
          <w:r>
            <w:t>1</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_Toc23706 </w:instrText>
          </w:r>
          <w:r>
            <w:rPr>
              <w:rFonts w:hint="eastAsia"/>
            </w:rPr>
            <w:fldChar w:fldCharType="separate"/>
          </w:r>
          <w:r>
            <w:rPr>
              <w:rFonts w:hint="eastAsia"/>
            </w:rPr>
            <w:t>（一）</w:t>
          </w:r>
          <w:r>
            <w:rPr>
              <w:rFonts w:hint="eastAsia"/>
              <w:u w:val="none"/>
            </w:rPr>
            <w:t xml:space="preserve"> 项目概况</w:t>
          </w:r>
          <w:r>
            <w:tab/>
          </w:r>
          <w:r>
            <w:fldChar w:fldCharType="begin"/>
          </w:r>
          <w:r>
            <w:instrText xml:space="preserve"> PAGEREF _Toc23706 \h </w:instrText>
          </w:r>
          <w:r>
            <w:fldChar w:fldCharType="separate"/>
          </w:r>
          <w:r>
            <w:t>1</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_Toc23771 </w:instrText>
          </w:r>
          <w:r>
            <w:rPr>
              <w:rFonts w:hint="eastAsia"/>
            </w:rPr>
            <w:fldChar w:fldCharType="separate"/>
          </w:r>
          <w:r>
            <w:rPr>
              <w:rFonts w:hint="eastAsia"/>
            </w:rPr>
            <w:t>（二）主要内容与实施情况</w:t>
          </w:r>
          <w:bookmarkStart w:id="32" w:name="_GoBack"/>
          <w:bookmarkEnd w:id="32"/>
          <w:r>
            <w:tab/>
          </w:r>
          <w:r>
            <w:fldChar w:fldCharType="begin"/>
          </w:r>
          <w:r>
            <w:instrText xml:space="preserve"> PAGEREF _Toc23771 \h </w:instrText>
          </w:r>
          <w:r>
            <w:fldChar w:fldCharType="separate"/>
          </w:r>
          <w:r>
            <w:t>2</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_Toc5120 </w:instrText>
          </w:r>
          <w:r>
            <w:rPr>
              <w:rFonts w:hint="eastAsia"/>
            </w:rPr>
            <w:fldChar w:fldCharType="separate"/>
          </w:r>
          <w:r>
            <w:rPr>
              <w:rFonts w:hint="eastAsia"/>
            </w:rPr>
            <w:t>（三）资金投入与使用情况</w:t>
          </w:r>
          <w:r>
            <w:tab/>
          </w:r>
          <w:r>
            <w:fldChar w:fldCharType="begin"/>
          </w:r>
          <w:r>
            <w:instrText xml:space="preserve"> PAGEREF _Toc5120 \h </w:instrText>
          </w:r>
          <w:r>
            <w:fldChar w:fldCharType="separate"/>
          </w:r>
          <w:r>
            <w:t>4</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_Toc8965 </w:instrText>
          </w:r>
          <w:r>
            <w:rPr>
              <w:rFonts w:hint="eastAsia"/>
            </w:rPr>
            <w:fldChar w:fldCharType="separate"/>
          </w:r>
          <w:r>
            <w:rPr>
              <w:rFonts w:hint="eastAsia"/>
            </w:rPr>
            <w:t>（四）组织及管理</w:t>
          </w:r>
          <w:r>
            <w:tab/>
          </w:r>
          <w:r>
            <w:fldChar w:fldCharType="begin"/>
          </w:r>
          <w:r>
            <w:instrText xml:space="preserve"> PAGEREF _Toc8965 \h </w:instrText>
          </w:r>
          <w:r>
            <w:fldChar w:fldCharType="separate"/>
          </w:r>
          <w:r>
            <w:t>4</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_Toc1033 </w:instrText>
          </w:r>
          <w:r>
            <w:rPr>
              <w:rFonts w:hint="eastAsia"/>
            </w:rPr>
            <w:fldChar w:fldCharType="separate"/>
          </w:r>
          <w:r>
            <w:rPr>
              <w:rFonts w:hint="eastAsia"/>
            </w:rPr>
            <w:t>（五） 项目绩效目标</w:t>
          </w:r>
          <w:r>
            <w:tab/>
          </w:r>
          <w:r>
            <w:fldChar w:fldCharType="begin"/>
          </w:r>
          <w:r>
            <w:instrText xml:space="preserve"> PAGEREF _Toc1033 \h </w:instrText>
          </w:r>
          <w:r>
            <w:fldChar w:fldCharType="separate"/>
          </w:r>
          <w:r>
            <w:t>5</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_Toc29810 </w:instrText>
          </w:r>
          <w:r>
            <w:rPr>
              <w:rFonts w:hint="eastAsia"/>
            </w:rPr>
            <w:fldChar w:fldCharType="separate"/>
          </w:r>
          <w:r>
            <w:rPr>
              <w:rFonts w:hint="eastAsia"/>
            </w:rPr>
            <w:t>二、绩效评价工作开展情况</w:t>
          </w:r>
          <w:r>
            <w:tab/>
          </w:r>
          <w:r>
            <w:fldChar w:fldCharType="begin"/>
          </w:r>
          <w:r>
            <w:instrText xml:space="preserve"> PAGEREF _Toc29810 \h </w:instrText>
          </w:r>
          <w:r>
            <w:fldChar w:fldCharType="separate"/>
          </w:r>
          <w:r>
            <w:t>6</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_Toc28616 </w:instrText>
          </w:r>
          <w:r>
            <w:rPr>
              <w:rFonts w:hint="eastAsia"/>
            </w:rPr>
            <w:fldChar w:fldCharType="separate"/>
          </w:r>
          <w:r>
            <w:rPr>
              <w:rFonts w:hint="eastAsia"/>
            </w:rPr>
            <w:t>（一）评价目的、对象和范围</w:t>
          </w:r>
          <w:r>
            <w:tab/>
          </w:r>
          <w:r>
            <w:fldChar w:fldCharType="begin"/>
          </w:r>
          <w:r>
            <w:instrText xml:space="preserve"> PAGEREF _Toc28616 \h </w:instrText>
          </w:r>
          <w:r>
            <w:fldChar w:fldCharType="separate"/>
          </w:r>
          <w:r>
            <w:t>6</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_Toc17219 </w:instrText>
          </w:r>
          <w:r>
            <w:rPr>
              <w:rFonts w:hint="eastAsia"/>
            </w:rPr>
            <w:fldChar w:fldCharType="separate"/>
          </w:r>
          <w:r>
            <w:rPr>
              <w:rFonts w:hint="eastAsia"/>
            </w:rPr>
            <w:t>（二）评价原则、依据及方法</w:t>
          </w:r>
          <w:r>
            <w:tab/>
          </w:r>
          <w:r>
            <w:fldChar w:fldCharType="begin"/>
          </w:r>
          <w:r>
            <w:instrText xml:space="preserve"> PAGEREF _Toc17219 \h </w:instrText>
          </w:r>
          <w:r>
            <w:fldChar w:fldCharType="separate"/>
          </w:r>
          <w:r>
            <w:t>6</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_Toc14029 </w:instrText>
          </w:r>
          <w:r>
            <w:rPr>
              <w:rFonts w:hint="eastAsia"/>
            </w:rPr>
            <w:fldChar w:fldCharType="separate"/>
          </w:r>
          <w:r>
            <w:rPr>
              <w:rFonts w:hint="eastAsia"/>
            </w:rPr>
            <w:t>（三）评价指标体系及评价标准说明</w:t>
          </w:r>
          <w:r>
            <w:tab/>
          </w:r>
          <w:r>
            <w:fldChar w:fldCharType="begin"/>
          </w:r>
          <w:r>
            <w:instrText xml:space="preserve"> PAGEREF _Toc14029 \h </w:instrText>
          </w:r>
          <w:r>
            <w:fldChar w:fldCharType="separate"/>
          </w:r>
          <w:r>
            <w:t>8</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_Toc5874 </w:instrText>
          </w:r>
          <w:r>
            <w:rPr>
              <w:rFonts w:hint="eastAsia"/>
            </w:rPr>
            <w:fldChar w:fldCharType="separate"/>
          </w:r>
          <w:r>
            <w:rPr>
              <w:rFonts w:hint="eastAsia"/>
            </w:rPr>
            <w:t>（四）评价工作过程</w:t>
          </w:r>
          <w:r>
            <w:tab/>
          </w:r>
          <w:r>
            <w:fldChar w:fldCharType="begin"/>
          </w:r>
          <w:r>
            <w:instrText xml:space="preserve"> PAGEREF _Toc5874 \h </w:instrText>
          </w:r>
          <w:r>
            <w:fldChar w:fldCharType="separate"/>
          </w:r>
          <w:r>
            <w:t>9</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_Toc30758 </w:instrText>
          </w:r>
          <w:r>
            <w:rPr>
              <w:rFonts w:hint="eastAsia"/>
            </w:rPr>
            <w:fldChar w:fldCharType="separate"/>
          </w:r>
          <w:r>
            <w:rPr>
              <w:rFonts w:hint="eastAsia"/>
            </w:rPr>
            <w:t>三、综合评价情况及评价结论</w:t>
          </w:r>
          <w:r>
            <w:tab/>
          </w:r>
          <w:r>
            <w:fldChar w:fldCharType="begin"/>
          </w:r>
          <w:r>
            <w:instrText xml:space="preserve"> PAGEREF _Toc30758 \h </w:instrText>
          </w:r>
          <w:r>
            <w:fldChar w:fldCharType="separate"/>
          </w:r>
          <w:r>
            <w:t>10</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_Toc31180 </w:instrText>
          </w:r>
          <w:r>
            <w:rPr>
              <w:rFonts w:hint="eastAsia"/>
            </w:rPr>
            <w:fldChar w:fldCharType="separate"/>
          </w:r>
          <w:r>
            <w:rPr>
              <w:rFonts w:hint="eastAsia"/>
            </w:rPr>
            <w:t>四、 绩效评价指标分析</w:t>
          </w:r>
          <w:r>
            <w:tab/>
          </w:r>
          <w:r>
            <w:fldChar w:fldCharType="begin"/>
          </w:r>
          <w:r>
            <w:instrText xml:space="preserve"> PAGEREF _Toc31180 \h </w:instrText>
          </w:r>
          <w:r>
            <w:fldChar w:fldCharType="separate"/>
          </w:r>
          <w:r>
            <w:t>12</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_Toc18053 </w:instrText>
          </w:r>
          <w:r>
            <w:rPr>
              <w:rFonts w:hint="eastAsia"/>
            </w:rPr>
            <w:fldChar w:fldCharType="separate"/>
          </w:r>
          <w:r>
            <w:rPr>
              <w:rFonts w:hint="eastAsia"/>
            </w:rPr>
            <w:t>（一）项目决策情况</w:t>
          </w:r>
          <w:r>
            <w:tab/>
          </w:r>
          <w:r>
            <w:fldChar w:fldCharType="begin"/>
          </w:r>
          <w:r>
            <w:instrText xml:space="preserve"> PAGEREF _Toc18053 \h </w:instrText>
          </w:r>
          <w:r>
            <w:fldChar w:fldCharType="separate"/>
          </w:r>
          <w:r>
            <w:t>12</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_Toc26378 </w:instrText>
          </w:r>
          <w:r>
            <w:rPr>
              <w:rFonts w:hint="eastAsia"/>
            </w:rPr>
            <w:fldChar w:fldCharType="separate"/>
          </w:r>
          <w:r>
            <w:rPr>
              <w:rFonts w:hint="eastAsia"/>
            </w:rPr>
            <w:t>（二）项目过程情况</w:t>
          </w:r>
          <w:r>
            <w:tab/>
          </w:r>
          <w:r>
            <w:fldChar w:fldCharType="begin"/>
          </w:r>
          <w:r>
            <w:instrText xml:space="preserve"> PAGEREF _Toc26378 \h </w:instrText>
          </w:r>
          <w:r>
            <w:fldChar w:fldCharType="separate"/>
          </w:r>
          <w:r>
            <w:t>14</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_Toc15968 </w:instrText>
          </w:r>
          <w:r>
            <w:rPr>
              <w:rFonts w:hint="eastAsia"/>
            </w:rPr>
            <w:fldChar w:fldCharType="separate"/>
          </w:r>
          <w:r>
            <w:rPr>
              <w:rFonts w:hint="eastAsia"/>
            </w:rPr>
            <w:t>（三）项目产出情况</w:t>
          </w:r>
          <w:r>
            <w:tab/>
          </w:r>
          <w:r>
            <w:fldChar w:fldCharType="begin"/>
          </w:r>
          <w:r>
            <w:instrText xml:space="preserve"> PAGEREF _Toc15968 \h </w:instrText>
          </w:r>
          <w:r>
            <w:fldChar w:fldCharType="separate"/>
          </w:r>
          <w:r>
            <w:t>16</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_Toc26337 </w:instrText>
          </w:r>
          <w:r>
            <w:rPr>
              <w:rFonts w:hint="eastAsia"/>
            </w:rPr>
            <w:fldChar w:fldCharType="separate"/>
          </w:r>
          <w:r>
            <w:rPr>
              <w:rFonts w:hint="eastAsia"/>
            </w:rPr>
            <w:t>（四）项目效果情况</w:t>
          </w:r>
          <w:r>
            <w:tab/>
          </w:r>
          <w:r>
            <w:fldChar w:fldCharType="begin"/>
          </w:r>
          <w:r>
            <w:instrText xml:space="preserve"> PAGEREF _Toc26337 \h </w:instrText>
          </w:r>
          <w:r>
            <w:fldChar w:fldCharType="separate"/>
          </w:r>
          <w:r>
            <w:t>19</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_Toc5702 </w:instrText>
          </w:r>
          <w:r>
            <w:rPr>
              <w:rFonts w:hint="eastAsia"/>
            </w:rPr>
            <w:fldChar w:fldCharType="separate"/>
          </w:r>
          <w:r>
            <w:rPr>
              <w:rFonts w:hint="eastAsia"/>
            </w:rPr>
            <w:t>五、主要经验及做法、存在的问题及原因分析</w:t>
          </w:r>
          <w:r>
            <w:tab/>
          </w:r>
          <w:r>
            <w:fldChar w:fldCharType="begin"/>
          </w:r>
          <w:r>
            <w:instrText xml:space="preserve"> PAGEREF _Toc5702 \h </w:instrText>
          </w:r>
          <w:r>
            <w:fldChar w:fldCharType="separate"/>
          </w:r>
          <w:r>
            <w:t>20</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_Toc12301 </w:instrText>
          </w:r>
          <w:r>
            <w:rPr>
              <w:rFonts w:hint="eastAsia"/>
            </w:rPr>
            <w:fldChar w:fldCharType="separate"/>
          </w:r>
          <w:r>
            <w:rPr>
              <w:rFonts w:hint="eastAsia"/>
            </w:rPr>
            <w:t>（一）经验及做法</w:t>
          </w:r>
          <w:r>
            <w:tab/>
          </w:r>
          <w:r>
            <w:fldChar w:fldCharType="begin"/>
          </w:r>
          <w:r>
            <w:instrText xml:space="preserve"> PAGEREF _Toc12301 \h </w:instrText>
          </w:r>
          <w:r>
            <w:fldChar w:fldCharType="separate"/>
          </w:r>
          <w:r>
            <w:t>20</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_Toc17095 </w:instrText>
          </w:r>
          <w:r>
            <w:rPr>
              <w:rFonts w:hint="eastAsia"/>
            </w:rPr>
            <w:fldChar w:fldCharType="separate"/>
          </w:r>
          <w:r>
            <w:rPr>
              <w:rFonts w:hint="eastAsia"/>
            </w:rPr>
            <w:t>（二） 存在问题及原因</w:t>
          </w:r>
          <w:r>
            <w:tab/>
          </w:r>
          <w:r>
            <w:fldChar w:fldCharType="begin"/>
          </w:r>
          <w:r>
            <w:instrText xml:space="preserve"> PAGEREF _Toc17095 \h </w:instrText>
          </w:r>
          <w:r>
            <w:fldChar w:fldCharType="separate"/>
          </w:r>
          <w:r>
            <w:t>20</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_Toc8855 </w:instrText>
          </w:r>
          <w:r>
            <w:rPr>
              <w:rFonts w:hint="eastAsia"/>
            </w:rPr>
            <w:fldChar w:fldCharType="separate"/>
          </w:r>
          <w:r>
            <w:rPr>
              <w:rFonts w:hint="eastAsia"/>
            </w:rPr>
            <w:t>六、有关建议</w:t>
          </w:r>
          <w:r>
            <w:tab/>
          </w:r>
          <w:r>
            <w:fldChar w:fldCharType="begin"/>
          </w:r>
          <w:r>
            <w:instrText xml:space="preserve"> PAGEREF _Toc8855 \h </w:instrText>
          </w:r>
          <w:r>
            <w:fldChar w:fldCharType="separate"/>
          </w:r>
          <w:r>
            <w:t>21</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_Toc21146 </w:instrText>
          </w:r>
          <w:r>
            <w:rPr>
              <w:rFonts w:hint="eastAsia"/>
            </w:rPr>
            <w:fldChar w:fldCharType="separate"/>
          </w:r>
          <w:r>
            <w:rPr>
              <w:rFonts w:hint="eastAsia"/>
            </w:rPr>
            <w:t>（一）强化绩效目标管理</w:t>
          </w:r>
          <w:r>
            <w:tab/>
          </w:r>
          <w:r>
            <w:fldChar w:fldCharType="begin"/>
          </w:r>
          <w:r>
            <w:instrText xml:space="preserve"> PAGEREF _Toc21146 \h </w:instrText>
          </w:r>
          <w:r>
            <w:fldChar w:fldCharType="separate"/>
          </w:r>
          <w:r>
            <w:t>21</w:t>
          </w:r>
          <w:r>
            <w:fldChar w:fldCharType="end"/>
          </w:r>
          <w:r>
            <w:rPr>
              <w:rFonts w:hint="eastAsia"/>
            </w:rPr>
            <w:fldChar w:fldCharType="end"/>
          </w:r>
        </w:p>
        <w:p>
          <w:pPr>
            <w:pStyle w:val="11"/>
            <w:tabs>
              <w:tab w:val="right" w:leader="dot" w:pos="8306"/>
            </w:tabs>
          </w:pPr>
          <w:r>
            <w:rPr>
              <w:rFonts w:hint="eastAsia"/>
            </w:rPr>
            <w:fldChar w:fldCharType="begin"/>
          </w:r>
          <w:r>
            <w:rPr>
              <w:rFonts w:hint="eastAsia"/>
            </w:rPr>
            <w:instrText xml:space="preserve"> HYPERLINK \l _Toc19946 </w:instrText>
          </w:r>
          <w:r>
            <w:rPr>
              <w:rFonts w:hint="eastAsia"/>
            </w:rPr>
            <w:fldChar w:fldCharType="separate"/>
          </w:r>
          <w:r>
            <w:rPr>
              <w:rFonts w:hint="eastAsia"/>
            </w:rPr>
            <w:t>（二）管理建议</w:t>
          </w:r>
          <w:r>
            <w:tab/>
          </w:r>
          <w:r>
            <w:fldChar w:fldCharType="begin"/>
          </w:r>
          <w:r>
            <w:instrText xml:space="preserve"> PAGEREF _Toc19946 \h </w:instrText>
          </w:r>
          <w:r>
            <w:fldChar w:fldCharType="separate"/>
          </w:r>
          <w:r>
            <w:t>22</w:t>
          </w:r>
          <w:r>
            <w:fldChar w:fldCharType="end"/>
          </w:r>
          <w:r>
            <w:rPr>
              <w:rFonts w:hint="eastAsia"/>
            </w:rPr>
            <w:fldChar w:fldCharType="end"/>
          </w:r>
        </w:p>
        <w:p>
          <w:pPr>
            <w:pStyle w:val="10"/>
            <w:tabs>
              <w:tab w:val="right" w:leader="dot" w:pos="8306"/>
            </w:tabs>
          </w:pPr>
          <w:r>
            <w:rPr>
              <w:rFonts w:hint="eastAsia"/>
            </w:rPr>
            <w:fldChar w:fldCharType="begin"/>
          </w:r>
          <w:r>
            <w:rPr>
              <w:rFonts w:hint="eastAsia"/>
            </w:rPr>
            <w:instrText xml:space="preserve"> HYPERLINK \l _Toc3298 </w:instrText>
          </w:r>
          <w:r>
            <w:rPr>
              <w:rFonts w:hint="eastAsia"/>
            </w:rPr>
            <w:fldChar w:fldCharType="separate"/>
          </w:r>
          <w:r>
            <w:rPr>
              <w:rFonts w:hint="eastAsia"/>
            </w:rPr>
            <w:t>七、附件</w:t>
          </w:r>
          <w:r>
            <w:tab/>
          </w:r>
          <w:r>
            <w:fldChar w:fldCharType="begin"/>
          </w:r>
          <w:r>
            <w:instrText xml:space="preserve"> PAGEREF _Toc3298 \h </w:instrText>
          </w:r>
          <w:r>
            <w:fldChar w:fldCharType="separate"/>
          </w:r>
          <w:r>
            <w:t>23</w:t>
          </w:r>
          <w:r>
            <w:fldChar w:fldCharType="end"/>
          </w:r>
          <w:r>
            <w:rPr>
              <w:rFonts w:hint="eastAsia"/>
            </w:rPr>
            <w:fldChar w:fldCharType="end"/>
          </w:r>
        </w:p>
        <w:p>
          <w:pPr>
            <w:pStyle w:val="10"/>
            <w:spacing w:line="240" w:lineRule="auto"/>
            <w:ind w:firstLine="560"/>
            <w:jc w:val="center"/>
          </w:pPr>
          <w:r>
            <w:rPr>
              <w:rFonts w:hint="eastAsia"/>
            </w:rPr>
            <w:fldChar w:fldCharType="end"/>
          </w:r>
        </w:p>
      </w:sdtContent>
    </w:sdt>
    <w:p>
      <w:pPr>
        <w:pStyle w:val="2"/>
        <w:numPr>
          <w:ilvl w:val="0"/>
          <w:numId w:val="1"/>
        </w:numPr>
        <w:ind w:firstLine="643"/>
        <w:sectPr>
          <w:pgSz w:w="11906" w:h="16838"/>
          <w:pgMar w:top="1440" w:right="1800" w:bottom="1440" w:left="1800" w:header="851" w:footer="992" w:gutter="0"/>
          <w:cols w:space="425" w:num="1"/>
          <w:docGrid w:type="lines" w:linePitch="312" w:charSpace="0"/>
        </w:sectPr>
      </w:pPr>
    </w:p>
    <w:p>
      <w:pPr>
        <w:bidi w:val="0"/>
        <w:jc w:val="center"/>
        <w:rPr>
          <w:rFonts w:hint="eastAsia" w:ascii="仿宋_GB2312" w:hAnsi="仿宋_GB2312" w:eastAsia="仿宋_GB2312" w:cs="仿宋_GB2312"/>
          <w:b/>
          <w:bCs/>
        </w:rPr>
      </w:pPr>
      <w:bookmarkStart w:id="2" w:name="_Toc5609"/>
      <w:bookmarkStart w:id="3" w:name="_Toc5187"/>
      <w:r>
        <w:rPr>
          <w:rFonts w:hint="eastAsia" w:ascii="仿宋_GB2312" w:hAnsi="仿宋_GB2312" w:eastAsia="仿宋_GB2312" w:cs="仿宋_GB2312"/>
          <w:b/>
          <w:bCs/>
        </w:rPr>
        <w:t>2020年承德市公安局路面科技动态防控工程项目财政支出</w:t>
      </w:r>
    </w:p>
    <w:p>
      <w:pPr>
        <w:bidi w:val="0"/>
        <w:jc w:val="center"/>
        <w:rPr>
          <w:rFonts w:hint="eastAsia" w:ascii="仿宋_GB2312" w:hAnsi="仿宋_GB2312" w:eastAsia="仿宋_GB2312" w:cs="仿宋_GB2312"/>
          <w:b/>
          <w:bCs/>
        </w:rPr>
      </w:pPr>
      <w:r>
        <w:rPr>
          <w:rFonts w:hint="eastAsia" w:ascii="仿宋_GB2312" w:hAnsi="仿宋_GB2312" w:eastAsia="仿宋_GB2312" w:cs="仿宋_GB2312"/>
          <w:b/>
          <w:bCs/>
        </w:rPr>
        <w:t>绩效评价报告</w:t>
      </w:r>
      <w:bookmarkEnd w:id="2"/>
      <w:bookmarkEnd w:id="3"/>
    </w:p>
    <w:p>
      <w:pPr>
        <w:ind w:firstLine="560"/>
        <w:rPr>
          <w:rFonts w:ascii="仿宋_GB2312" w:hAnsi="仿宋_GB2312" w:cs="仿宋_GB2312"/>
        </w:rPr>
      </w:pPr>
      <w:r>
        <w:rPr>
          <w:rFonts w:hint="eastAsia" w:ascii="仿宋_GB2312" w:hAnsi="仿宋_GB2312" w:cs="仿宋_GB2312"/>
        </w:rPr>
        <w:t>为进一步规范和加强财政资金使用管理，提高资金使用效益， 强化支出责任和效率意识，北京国研科技咨询有限公司（以下简称“我司”）</w:t>
      </w:r>
      <w:r>
        <w:rPr>
          <w:rFonts w:hint="eastAsia" w:ascii="仿宋_GB2312" w:hAnsi="仿宋_GB2312" w:cs="仿宋_GB2312"/>
          <w:lang w:val="en-US" w:eastAsia="zh-CN"/>
        </w:rPr>
        <w:t>接受委托</w:t>
      </w:r>
      <w:r>
        <w:rPr>
          <w:rFonts w:hint="eastAsia" w:ascii="仿宋_GB2312" w:hAnsi="仿宋_GB2312" w:cs="仿宋_GB2312"/>
        </w:rPr>
        <w:t>组成评价组，</w:t>
      </w:r>
      <w:r>
        <w:rPr>
          <w:rFonts w:hint="eastAsia" w:ascii="仿宋_GB2312" w:hAnsi="仿宋_GB2312" w:cs="仿宋_GB2312"/>
          <w:lang w:val="en-US" w:eastAsia="zh-CN"/>
        </w:rPr>
        <w:t>于</w:t>
      </w:r>
      <w:r>
        <w:rPr>
          <w:rFonts w:hint="eastAsia" w:ascii="仿宋_GB2312" w:hAnsi="仿宋_GB2312" w:cs="仿宋_GB2312"/>
        </w:rPr>
        <w:t>202</w:t>
      </w:r>
      <w:r>
        <w:rPr>
          <w:rFonts w:hint="eastAsia" w:ascii="仿宋_GB2312" w:hAnsi="仿宋_GB2312" w:cs="仿宋_GB2312"/>
          <w:lang w:val="en-US" w:eastAsia="zh-CN"/>
        </w:rPr>
        <w:t>1</w:t>
      </w:r>
      <w:r>
        <w:rPr>
          <w:rFonts w:hint="eastAsia" w:ascii="仿宋_GB2312" w:hAnsi="仿宋_GB2312" w:cs="仿宋_GB2312"/>
        </w:rPr>
        <w:t>年8月至9月，完成</w:t>
      </w:r>
      <w:r>
        <w:rPr>
          <w:rFonts w:hint="eastAsia" w:ascii="仿宋_GB2312" w:hAnsi="仿宋_GB2312" w:cs="仿宋_GB2312"/>
          <w:lang w:val="en-US" w:eastAsia="zh-CN"/>
        </w:rPr>
        <w:t>了</w:t>
      </w:r>
      <w:r>
        <w:rPr>
          <w:rFonts w:hint="eastAsia" w:ascii="仿宋_GB2312" w:hAnsi="仿宋_GB2312" w:cs="仿宋_GB2312"/>
        </w:rPr>
        <w:t>2020年承德市公安局路面科技动态防控工程项目财政支出绩效评价工作，</w:t>
      </w:r>
      <w:r>
        <w:rPr>
          <w:rFonts w:hint="eastAsia" w:ascii="仿宋_GB2312" w:hAnsi="仿宋_GB2312" w:cs="仿宋_GB2312"/>
          <w:lang w:val="en-US" w:eastAsia="zh-CN"/>
        </w:rPr>
        <w:t>本</w:t>
      </w:r>
      <w:r>
        <w:rPr>
          <w:rFonts w:hint="eastAsia" w:ascii="仿宋_GB2312" w:hAnsi="仿宋_GB2312" w:cs="仿宋_GB2312"/>
        </w:rPr>
        <w:t>项目绩效评价</w:t>
      </w:r>
      <w:r>
        <w:rPr>
          <w:rFonts w:hint="eastAsia" w:ascii="仿宋_GB2312" w:hAnsi="仿宋_GB2312" w:cs="仿宋_GB2312"/>
          <w:lang w:val="en-US" w:eastAsia="zh-CN"/>
        </w:rPr>
        <w:t>综合</w:t>
      </w:r>
      <w:r>
        <w:rPr>
          <w:rFonts w:hint="eastAsia" w:ascii="仿宋_GB2312" w:hAnsi="仿宋_GB2312" w:cs="仿宋_GB2312"/>
        </w:rPr>
        <w:t>得分为 92.63分，评定等级为</w:t>
      </w:r>
      <w:r>
        <w:rPr>
          <w:rFonts w:hint="eastAsia" w:ascii="仿宋_GB2312" w:hAnsi="仿宋_GB2312" w:cs="仿宋_GB2312"/>
          <w:highlight w:val="none"/>
        </w:rPr>
        <w:t>“优”</w:t>
      </w:r>
      <w:r>
        <w:rPr>
          <w:rFonts w:hint="eastAsia" w:ascii="仿宋_GB2312" w:hAnsi="仿宋_GB2312" w:cs="仿宋_GB2312"/>
          <w:highlight w:val="none"/>
          <w:lang w:eastAsia="zh-CN"/>
        </w:rPr>
        <w:t>。</w:t>
      </w:r>
      <w:r>
        <w:rPr>
          <w:rFonts w:hint="eastAsia" w:ascii="仿宋_GB2312" w:hAnsi="仿宋_GB2312" w:cs="仿宋_GB2312"/>
        </w:rPr>
        <w:t>现将评价情况报告如下：</w:t>
      </w:r>
    </w:p>
    <w:p>
      <w:pPr>
        <w:pStyle w:val="2"/>
        <w:numPr>
          <w:ilvl w:val="0"/>
          <w:numId w:val="1"/>
        </w:numPr>
        <w:ind w:firstLine="643"/>
      </w:pPr>
      <w:bookmarkStart w:id="4" w:name="_Toc4953"/>
      <w:r>
        <w:rPr>
          <w:rFonts w:hint="eastAsia"/>
        </w:rPr>
        <w:t>项目基本情况</w:t>
      </w:r>
      <w:bookmarkEnd w:id="0"/>
      <w:bookmarkEnd w:id="1"/>
      <w:bookmarkEnd w:id="4"/>
    </w:p>
    <w:p>
      <w:pPr>
        <w:pStyle w:val="3"/>
        <w:numPr>
          <w:ilvl w:val="0"/>
          <w:numId w:val="2"/>
        </w:numPr>
        <w:ind w:firstLine="562"/>
      </w:pPr>
      <w:bookmarkStart w:id="5" w:name="_Toc23706"/>
      <w:bookmarkStart w:id="6" w:name="_Toc9510"/>
      <w:bookmarkStart w:id="7" w:name="_Toc12116"/>
      <w:r>
        <w:rPr>
          <w:rFonts w:hint="eastAsia"/>
        </w:rPr>
        <w:t>项目概况</w:t>
      </w:r>
      <w:bookmarkEnd w:id="5"/>
      <w:bookmarkEnd w:id="6"/>
      <w:bookmarkEnd w:id="7"/>
    </w:p>
    <w:p>
      <w:pPr>
        <w:pStyle w:val="4"/>
        <w:numPr>
          <w:ilvl w:val="0"/>
          <w:numId w:val="3"/>
        </w:numPr>
        <w:ind w:firstLine="562"/>
      </w:pPr>
      <w:r>
        <w:rPr>
          <w:rFonts w:hint="eastAsia"/>
        </w:rPr>
        <w:t>项目背景</w:t>
      </w:r>
    </w:p>
    <w:p>
      <w:pPr>
        <w:ind w:firstLine="560"/>
        <w:rPr>
          <w:rFonts w:ascii="仿宋_GB2312" w:hAnsi="仿宋_GB2312" w:cs="仿宋_GB2312"/>
        </w:rPr>
      </w:pPr>
      <w:r>
        <w:rPr>
          <w:rFonts w:hint="eastAsia" w:ascii="仿宋_GB2312" w:hAnsi="仿宋_GB2312" w:cs="仿宋_GB2312"/>
        </w:rPr>
        <w:t>为贯彻落实公安部《关于做好新能源汽车专用号牌全面推广应用工作的通知》（公交管[2017]485号）和省政府一系列工作部署，按照省厅《河北省新能源汽车专用号牌推广应用实施方案》为要求，以《河北省道路交通科技建设指导意见》提出的：“以提升公路交通管控科技手段为重点，新建、改造、集成接入各地交通科技系统及设备，提升对道路交通量的感知能力，进一步提高交管部门主动返现的水平，保证道路畅顺安全，有效防范和减少道路交通事故”为建设目标，并结合《道路交通信息监测记录设备设置规范》的技术标准，对我市的智能卡口、测速系统等和电子警察系统进行升级改造。</w:t>
      </w:r>
    </w:p>
    <w:p>
      <w:pPr>
        <w:pStyle w:val="4"/>
        <w:numPr>
          <w:ilvl w:val="0"/>
          <w:numId w:val="3"/>
        </w:numPr>
        <w:ind w:firstLine="562"/>
      </w:pPr>
      <w:r>
        <w:rPr>
          <w:rFonts w:hint="eastAsia"/>
        </w:rPr>
        <w:t>立项依据</w:t>
      </w:r>
    </w:p>
    <w:p>
      <w:pPr>
        <w:ind w:left="560" w:leftChars="200" w:firstLine="0" w:firstLineChars="0"/>
        <w:rPr>
          <w:rFonts w:ascii="仿宋_GB2312" w:hAnsi="仿宋_GB2312" w:cs="仿宋_GB2312"/>
        </w:rPr>
      </w:pPr>
      <w:r>
        <w:rPr>
          <w:rFonts w:hint="eastAsia" w:ascii="仿宋_GB2312" w:hAnsi="仿宋_GB2312" w:cs="仿宋_GB2312"/>
        </w:rPr>
        <w:t>（1）《关于做好新能源汽车专用号牌全面推广应用工作的通知》（公交管[2017]485号）；</w:t>
      </w:r>
    </w:p>
    <w:p>
      <w:pPr>
        <w:ind w:left="560" w:leftChars="200" w:firstLine="0" w:firstLineChars="0"/>
        <w:rPr>
          <w:rFonts w:ascii="仿宋_GB2312" w:hAnsi="仿宋_GB2312" w:cs="仿宋_GB2312"/>
        </w:rPr>
      </w:pPr>
      <w:r>
        <w:rPr>
          <w:rFonts w:hint="eastAsia" w:ascii="仿宋_GB2312" w:hAnsi="仿宋_GB2312" w:cs="仿宋_GB2312"/>
        </w:rPr>
        <w:t>（2）《河北省新能源汽车专用号牌推广应用实施方案》；</w:t>
      </w:r>
    </w:p>
    <w:p>
      <w:pPr>
        <w:ind w:left="560" w:leftChars="200" w:firstLine="0" w:firstLineChars="0"/>
        <w:rPr>
          <w:rFonts w:ascii="仿宋_GB2312" w:hAnsi="仿宋_GB2312" w:cs="仿宋_GB2312"/>
        </w:rPr>
      </w:pPr>
      <w:r>
        <w:rPr>
          <w:rFonts w:hint="eastAsia" w:ascii="仿宋_GB2312" w:hAnsi="仿宋_GB2312" w:cs="仿宋_GB2312"/>
        </w:rPr>
        <w:t>（3）《河北省道路交通科技建设指导意见》；</w:t>
      </w:r>
    </w:p>
    <w:p>
      <w:pPr>
        <w:ind w:left="560" w:leftChars="200" w:firstLine="0" w:firstLineChars="0"/>
        <w:rPr>
          <w:rFonts w:ascii="仿宋_GB2312" w:hAnsi="仿宋_GB2312" w:cs="仿宋_GB2312"/>
        </w:rPr>
      </w:pPr>
      <w:r>
        <w:rPr>
          <w:rFonts w:hint="eastAsia" w:ascii="仿宋_GB2312" w:hAnsi="仿宋_GB2312" w:cs="仿宋_GB2312"/>
        </w:rPr>
        <w:t>（4）《道路交通信息监测记录设备设置规范》；</w:t>
      </w:r>
    </w:p>
    <w:p>
      <w:pPr>
        <w:ind w:left="560" w:leftChars="200" w:firstLine="0" w:firstLineChars="0"/>
        <w:rPr>
          <w:rFonts w:ascii="仿宋_GB2312" w:hAnsi="仿宋_GB2312" w:cs="仿宋_GB2312"/>
        </w:rPr>
      </w:pPr>
      <w:r>
        <w:rPr>
          <w:rFonts w:hint="eastAsia" w:ascii="仿宋_GB2312" w:hAnsi="仿宋_GB2312" w:cs="仿宋_GB2312"/>
        </w:rPr>
        <w:t>（5）其他技术标准。</w:t>
      </w:r>
    </w:p>
    <w:p>
      <w:pPr>
        <w:pStyle w:val="3"/>
        <w:ind w:firstLine="562"/>
      </w:pPr>
      <w:bookmarkStart w:id="8" w:name="_Toc23771"/>
      <w:r>
        <w:rPr>
          <w:rFonts w:hint="eastAsia"/>
        </w:rPr>
        <w:t>（二）主要内容与实施情况</w:t>
      </w:r>
      <w:bookmarkEnd w:id="8"/>
    </w:p>
    <w:p>
      <w:pPr>
        <w:pStyle w:val="4"/>
        <w:ind w:firstLine="562"/>
      </w:pPr>
      <w:r>
        <w:rPr>
          <w:rFonts w:hint="eastAsia"/>
        </w:rPr>
        <w:t>1.项目内容</w:t>
      </w:r>
    </w:p>
    <w:p>
      <w:pPr>
        <w:ind w:firstLine="560"/>
        <w:contextualSpacing/>
        <w:rPr>
          <w:rFonts w:ascii="仿宋_GB2312" w:hAnsi="仿宋_GB2312" w:cs="仿宋_GB2312"/>
          <w:szCs w:val="28"/>
        </w:rPr>
      </w:pPr>
      <w:r>
        <w:rPr>
          <w:rFonts w:hint="eastAsia" w:ascii="仿宋_GB2312" w:hAnsi="仿宋_GB2312" w:cs="仿宋_GB2312"/>
          <w:szCs w:val="28"/>
        </w:rPr>
        <w:t>按照设置原则和设置标准，在全市公路及城区道路开展交通科技设备建设和联网工作，2020年达到高速公路路段平均5公里、国省道路段平均10公里、其他公路平均15公里、城市道路路段平均2公里设置1处高清视频摄像机，高速公路路段平均10公里、国省道路段平均15公里、农村道路平均20公里、城市快速公路平局3公里、城市主（次）干路平均5公里设置1处高清智能卡口系统的目标。</w:t>
      </w:r>
    </w:p>
    <w:p>
      <w:pPr>
        <w:ind w:firstLine="560"/>
        <w:contextualSpacing/>
        <w:rPr>
          <w:rFonts w:ascii="仿宋_GB2312" w:hAnsi="仿宋_GB2312" w:cs="仿宋_GB2312"/>
          <w:szCs w:val="28"/>
        </w:rPr>
      </w:pPr>
      <w:r>
        <w:rPr>
          <w:rFonts w:hint="eastAsia" w:ascii="仿宋_GB2312" w:hAnsi="仿宋_GB2312" w:cs="仿宋_GB2312"/>
          <w:szCs w:val="28"/>
        </w:rPr>
        <w:t>（1）卡口系统：支队现有29处卡口前端设备全部更新，并新增11处卡口；</w:t>
      </w:r>
    </w:p>
    <w:p>
      <w:pPr>
        <w:ind w:firstLine="560"/>
        <w:contextualSpacing/>
        <w:rPr>
          <w:rFonts w:ascii="仿宋_GB2312" w:hAnsi="仿宋_GB2312" w:cs="仿宋_GB2312"/>
          <w:szCs w:val="28"/>
        </w:rPr>
      </w:pPr>
      <w:r>
        <w:rPr>
          <w:rFonts w:hint="eastAsia" w:ascii="仿宋_GB2312" w:hAnsi="仿宋_GB2312" w:cs="仿宋_GB2312"/>
          <w:szCs w:val="28"/>
        </w:rPr>
        <w:t>（2）违法测速系统：支队现有26处测速更换为卡口式测速设备（L型杆、摄像机、补充雷达）；</w:t>
      </w:r>
    </w:p>
    <w:p>
      <w:pPr>
        <w:ind w:firstLine="560"/>
        <w:contextualSpacing/>
        <w:rPr>
          <w:rFonts w:ascii="仿宋_GB2312" w:hAnsi="仿宋_GB2312" w:cs="仿宋_GB2312"/>
        </w:rPr>
      </w:pPr>
      <w:r>
        <w:rPr>
          <w:rFonts w:hint="eastAsia" w:ascii="仿宋_GB2312" w:hAnsi="仿宋_GB2312" w:cs="仿宋_GB2312"/>
          <w:szCs w:val="28"/>
        </w:rPr>
        <w:t>（3）</w:t>
      </w:r>
      <w:r>
        <w:rPr>
          <w:rFonts w:hint="eastAsia" w:ascii="仿宋_GB2312" w:hAnsi="仿宋_GB2312" w:cs="仿宋_GB2312"/>
        </w:rPr>
        <w:t>电子警察：更换无法升级的10方向电警，新增17方向电警；</w:t>
      </w:r>
    </w:p>
    <w:p>
      <w:pPr>
        <w:ind w:firstLine="560"/>
        <w:contextualSpacing/>
      </w:pPr>
      <w:r>
        <w:rPr>
          <w:rFonts w:hint="eastAsia" w:ascii="仿宋_GB2312" w:hAnsi="仿宋_GB2312" w:cs="仿宋_GB2312"/>
        </w:rPr>
        <w:t>（4）道路监控：将47个模拟球机更新为高清违停球机，并将部分严重老化、存在安全隐患的杆体进行更换。同时新增10处高空点位。</w:t>
      </w:r>
    </w:p>
    <w:p>
      <w:pPr>
        <w:pStyle w:val="4"/>
        <w:numPr>
          <w:ilvl w:val="0"/>
          <w:numId w:val="4"/>
        </w:numPr>
        <w:ind w:firstLine="562"/>
      </w:pPr>
      <w:r>
        <w:rPr>
          <w:rFonts w:hint="eastAsia"/>
        </w:rPr>
        <w:t>项目实施情况</w:t>
      </w:r>
    </w:p>
    <w:p>
      <w:pPr>
        <w:ind w:firstLine="560"/>
        <w:rPr>
          <w:rFonts w:ascii="仿宋_GB2312" w:hAnsi="仿宋_GB2312" w:cs="仿宋_GB2312"/>
        </w:rPr>
      </w:pPr>
      <w:r>
        <w:rPr>
          <w:rFonts w:hint="eastAsia" w:ascii="仿宋_GB2312" w:hAnsi="仿宋_GB2312" w:cs="仿宋_GB2312"/>
        </w:rPr>
        <w:t>（1）卡口系统：支队现有29处卡口前端设备全部更新，并新增11处卡口，该分项工作已经全部完成验收，并投入使用；</w:t>
      </w:r>
    </w:p>
    <w:p>
      <w:pPr>
        <w:ind w:firstLine="560"/>
        <w:rPr>
          <w:rFonts w:ascii="仿宋_GB2312" w:hAnsi="仿宋_GB2312" w:cs="仿宋_GB2312"/>
        </w:rPr>
      </w:pPr>
      <w:r>
        <w:rPr>
          <w:rFonts w:hint="eastAsia" w:ascii="仿宋_GB2312" w:hAnsi="仿宋_GB2312" w:cs="仿宋_GB2312"/>
        </w:rPr>
        <w:t>（2）违法测速系统：支队现有26处测速更换为卡口式测速设备（L型杆、摄像机、补充雷达），该分项工作已经全部完成验收，并投入使用；</w:t>
      </w:r>
    </w:p>
    <w:p>
      <w:pPr>
        <w:ind w:firstLine="560"/>
        <w:rPr>
          <w:rFonts w:ascii="仿宋_GB2312" w:hAnsi="仿宋_GB2312" w:cs="仿宋_GB2312"/>
        </w:rPr>
      </w:pPr>
      <w:r>
        <w:rPr>
          <w:rFonts w:hint="eastAsia" w:ascii="仿宋_GB2312" w:hAnsi="仿宋_GB2312" w:cs="仿宋_GB2312"/>
        </w:rPr>
        <w:t>（3）电子警察：更换无法升级的10方向电警，新增17方向电警，该分项工作已经全部完成验收，并投入使用；</w:t>
      </w:r>
    </w:p>
    <w:p>
      <w:pPr>
        <w:ind w:firstLine="560"/>
        <w:rPr>
          <w:rFonts w:ascii="仿宋_GB2312" w:hAnsi="仿宋_GB2312" w:cs="仿宋_GB2312"/>
        </w:rPr>
      </w:pPr>
      <w:r>
        <w:rPr>
          <w:rFonts w:hint="eastAsia" w:ascii="仿宋_GB2312" w:hAnsi="仿宋_GB2312" w:cs="仿宋_GB2312"/>
        </w:rPr>
        <w:t>（4）道路监控：将47个模拟球机更新为高清违停球机，并将部分严重老化、存在安全隐患的杆体进行更换。同时新增10处高空点位，该分项工作已经全部完成验收，并投入使用。</w:t>
      </w:r>
    </w:p>
    <w:p>
      <w:pPr>
        <w:ind w:firstLine="560"/>
        <w:rPr>
          <w:rFonts w:ascii="仿宋_GB2312" w:hAnsi="仿宋_GB2312" w:cs="仿宋_GB2312"/>
        </w:rPr>
      </w:pPr>
      <w:r>
        <w:rPr>
          <w:rFonts w:hint="eastAsia" w:ascii="仿宋_GB2312" w:hAnsi="仿宋_GB2312" w:cs="仿宋_GB2312"/>
        </w:rPr>
        <w:t>项目资金已按照《</w:t>
      </w:r>
      <w:r>
        <w:rPr>
          <w:rFonts w:ascii="仿宋_GB2312" w:hAnsi="仿宋_GB2312" w:cs="仿宋_GB2312"/>
        </w:rPr>
        <w:t>承德市公安局路面科技动态防控工程项目</w:t>
      </w:r>
      <w:r>
        <w:rPr>
          <w:rFonts w:hint="eastAsia" w:ascii="仿宋_GB2312" w:hAnsi="仿宋_GB2312" w:cs="仿宋_GB2312"/>
        </w:rPr>
        <w:t>施工合同协议书》的有关规定，完成了部分支付。</w:t>
      </w:r>
    </w:p>
    <w:p>
      <w:pPr>
        <w:pStyle w:val="4"/>
        <w:ind w:firstLine="562"/>
      </w:pPr>
      <w:r>
        <w:rPr>
          <w:rFonts w:hint="eastAsia"/>
        </w:rPr>
        <w:t>3.项目实施流程</w:t>
      </w:r>
    </w:p>
    <w:p>
      <w:pPr>
        <w:pStyle w:val="5"/>
        <w:ind w:firstLine="560"/>
        <w:rPr>
          <w:rFonts w:ascii="仿宋_GB2312" w:hAnsi="仿宋_GB2312" w:cs="仿宋_GB2312"/>
        </w:rPr>
      </w:pPr>
      <w:r>
        <w:rPr>
          <w:rFonts w:hint="eastAsia" w:ascii="仿宋_GB2312" w:hAnsi="仿宋_GB2312" w:cs="仿宋_GB2312"/>
        </w:rPr>
        <w:t>（1）立项流程</w:t>
      </w:r>
    </w:p>
    <w:p>
      <w:pPr>
        <w:ind w:firstLine="560"/>
        <w:rPr>
          <w:rFonts w:ascii="仿宋_GB2312" w:hAnsi="仿宋_GB2312" w:cs="仿宋_GB2312"/>
        </w:rPr>
      </w:pPr>
      <w:r>
        <w:rPr>
          <w:rFonts w:hint="eastAsia" w:ascii="仿宋_GB2312" w:hAnsi="仿宋_GB2312" w:cs="仿宋_GB2312"/>
        </w:rPr>
        <w:t>承德市公安局交通警察支队负责申报项目的审批组织实施，经审核相关资料齐全后组织召开局党委会上会决策其申报项目的可行性，最后通过局党委会的项目再上报财政相关科室进行评审。 </w:t>
      </w:r>
    </w:p>
    <w:p>
      <w:pPr>
        <w:pStyle w:val="5"/>
        <w:numPr>
          <w:ilvl w:val="0"/>
          <w:numId w:val="5"/>
        </w:numPr>
        <w:ind w:firstLine="560"/>
        <w:rPr>
          <w:rFonts w:ascii="仿宋_GB2312" w:hAnsi="仿宋_GB2312" w:cs="仿宋_GB2312"/>
        </w:rPr>
      </w:pPr>
      <w:r>
        <w:rPr>
          <w:rFonts w:hint="eastAsia" w:ascii="仿宋_GB2312" w:hAnsi="仿宋_GB2312" w:cs="仿宋_GB2312"/>
        </w:rPr>
        <w:t>招投标流程</w:t>
      </w:r>
    </w:p>
    <w:p>
      <w:pPr>
        <w:ind w:firstLine="560"/>
        <w:rPr>
          <w:rFonts w:ascii="仿宋_GB2312" w:hAnsi="仿宋_GB2312" w:cs="仿宋_GB2312"/>
        </w:rPr>
      </w:pPr>
      <w:r>
        <w:rPr>
          <w:rFonts w:hint="eastAsia" w:ascii="仿宋_GB2312" w:hAnsi="仿宋_GB2312" w:cs="仿宋_GB2312"/>
        </w:rPr>
        <w:t>经财政发文通知项目通过审批后，开始组织实施，发布招标公告，组织评标委员会，然后签订合同进行项目实施。</w:t>
      </w:r>
    </w:p>
    <w:p>
      <w:pPr>
        <w:pStyle w:val="3"/>
        <w:ind w:firstLine="562"/>
      </w:pPr>
      <w:bookmarkStart w:id="9" w:name="_Toc5120"/>
      <w:r>
        <w:rPr>
          <w:rFonts w:hint="eastAsia"/>
        </w:rPr>
        <w:t>（三）资金投入与使用情况</w:t>
      </w:r>
      <w:bookmarkEnd w:id="9"/>
    </w:p>
    <w:p>
      <w:pPr>
        <w:pStyle w:val="4"/>
        <w:ind w:firstLine="562"/>
      </w:pPr>
      <w:r>
        <w:rPr>
          <w:rFonts w:hint="eastAsia"/>
        </w:rPr>
        <w:t>1.资金预算及使用情况</w:t>
      </w:r>
    </w:p>
    <w:p>
      <w:pPr>
        <w:pStyle w:val="19"/>
        <w:ind w:firstLine="560"/>
      </w:pPr>
      <w:r>
        <w:rPr>
          <w:rFonts w:hint="eastAsia" w:ascii="仿宋_GB2312" w:hAnsi="仿宋_GB2312" w:cs="仿宋_GB2312"/>
          <w:szCs w:val="28"/>
        </w:rPr>
        <w:t>承德市公安局路面科技动态防控工程项目总投资为981万元，资金来源为财政投资。2020年12月31日财政下达300万元，资金到位率100%，该项目本年度实际支出235万元，资金支出率78.33%（按合同约定剩余资金后续支付）。</w:t>
      </w:r>
    </w:p>
    <w:p>
      <w:pPr>
        <w:pStyle w:val="4"/>
        <w:tabs>
          <w:tab w:val="left" w:pos="879"/>
        </w:tabs>
        <w:ind w:firstLine="548" w:firstLineChars="195"/>
      </w:pPr>
      <w:r>
        <w:rPr>
          <w:rFonts w:hint="eastAsia"/>
        </w:rPr>
        <w:t>2.资金拨付流程</w:t>
      </w:r>
    </w:p>
    <w:p>
      <w:pPr>
        <w:ind w:firstLine="560"/>
      </w:pPr>
      <w:r>
        <w:rPr>
          <w:rFonts w:hint="eastAsia"/>
        </w:rPr>
        <w:t>承德市公安局交通警察支队作为行政单位，直接采用授权支付的方式完成项目支出，并设立专门的备查账簿，项目资金流清晰。</w:t>
      </w:r>
    </w:p>
    <w:p>
      <w:pPr>
        <w:pStyle w:val="3"/>
        <w:ind w:firstLine="562"/>
      </w:pPr>
      <w:bookmarkStart w:id="10" w:name="_Toc8965"/>
      <w:r>
        <w:rPr>
          <w:rFonts w:hint="eastAsia"/>
        </w:rPr>
        <w:t>（四）组织及管理</w:t>
      </w:r>
      <w:bookmarkEnd w:id="10"/>
    </w:p>
    <w:p>
      <w:pPr>
        <w:pStyle w:val="4"/>
        <w:ind w:firstLine="562"/>
      </w:pPr>
      <w:r>
        <w:rPr>
          <w:rFonts w:hint="eastAsia"/>
        </w:rPr>
        <w:t>1.组织分工</w:t>
      </w:r>
    </w:p>
    <w:p>
      <w:pPr>
        <w:ind w:firstLine="560"/>
        <w:rPr>
          <w:rFonts w:ascii="仿宋_GB2312" w:hAnsi="仿宋_GB2312" w:cs="仿宋_GB2312"/>
        </w:rPr>
      </w:pPr>
      <w:r>
        <w:rPr>
          <w:rFonts w:hint="eastAsia" w:ascii="仿宋_GB2312" w:hAnsi="仿宋_GB2312" w:cs="仿宋_GB2312"/>
        </w:rPr>
        <w:t>项目预算主管科室负责项目和预算的审批，审批通过申请财政局向项目单位拨款；项目实施的主体为承德市公安局交通警察支队，负责项目申报、预算编制与组织实施等。</w:t>
      </w:r>
    </w:p>
    <w:p>
      <w:pPr>
        <w:ind w:firstLine="560"/>
        <w:rPr>
          <w:rFonts w:ascii="仿宋_GB2312" w:hAnsi="仿宋_GB2312" w:cs="仿宋_GB2312"/>
        </w:rPr>
      </w:pPr>
      <w:r>
        <w:rPr>
          <w:rFonts w:hint="eastAsia" w:ascii="仿宋_GB2312" w:hAnsi="仿宋_GB2312" w:cs="仿宋_GB2312"/>
        </w:rPr>
        <w:t>（1）承德市财政局依据国家、省市级政策制度，结合本地区具体办法，负责将承德市公安局交通警察支队的申报材料进行审核批准，确认后拨付相应资金；</w:t>
      </w:r>
    </w:p>
    <w:p>
      <w:pPr>
        <w:ind w:firstLine="560"/>
        <w:rPr>
          <w:rFonts w:ascii="仿宋_GB2312" w:hAnsi="仿宋_GB2312" w:cs="仿宋_GB2312"/>
        </w:rPr>
      </w:pPr>
      <w:r>
        <w:rPr>
          <w:rFonts w:hint="eastAsia" w:ascii="仿宋_GB2312" w:hAnsi="仿宋_GB2312" w:cs="仿宋_GB2312"/>
        </w:rPr>
        <w:t>（2）承德市公安局交通警察支队负责准备申请项目的相关资料并申报，预算资金申报和预算安排、组织项目实施和管理、工作资料归档等工作。</w:t>
      </w:r>
    </w:p>
    <w:p>
      <w:pPr>
        <w:pStyle w:val="4"/>
        <w:bidi w:val="0"/>
      </w:pPr>
      <w:r>
        <w:rPr>
          <w:rFonts w:hint="eastAsia"/>
        </w:rPr>
        <w:t>2.组织保障</w:t>
      </w:r>
    </w:p>
    <w:p>
      <w:pPr>
        <w:ind w:firstLine="560"/>
      </w:pPr>
      <w:r>
        <w:rPr>
          <w:rFonts w:hint="eastAsia"/>
        </w:rPr>
        <w:t>承德市公安局交通警察支队依据内部项目建设管理办法规范各项目申报流程和实施管理，预算申请、审批和执行，程序合法合规。</w:t>
      </w:r>
    </w:p>
    <w:p>
      <w:pPr>
        <w:pStyle w:val="3"/>
        <w:numPr>
          <w:ilvl w:val="0"/>
          <w:numId w:val="6"/>
        </w:numPr>
        <w:ind w:firstLine="562"/>
      </w:pPr>
      <w:bookmarkStart w:id="11" w:name="_Toc1033"/>
      <w:r>
        <w:rPr>
          <w:rFonts w:hint="eastAsia"/>
        </w:rPr>
        <w:t>项目绩效目标</w:t>
      </w:r>
      <w:bookmarkEnd w:id="11"/>
    </w:p>
    <w:p>
      <w:pPr>
        <w:ind w:firstLine="560"/>
      </w:pPr>
      <w:r>
        <w:rPr>
          <w:rFonts w:hint="eastAsia"/>
        </w:rPr>
        <w:t>基于项目目的，承德市公安局交通警察支队按照绩效目标设置的基本原理，按照以结果为导向的原则，设置了项目绩效目标。</w:t>
      </w:r>
    </w:p>
    <w:p>
      <w:pPr>
        <w:pStyle w:val="4"/>
        <w:numPr>
          <w:ilvl w:val="0"/>
          <w:numId w:val="7"/>
        </w:numPr>
        <w:ind w:firstLine="562"/>
      </w:pPr>
      <w:r>
        <w:rPr>
          <w:rFonts w:hint="eastAsia"/>
          <w:lang w:val="en-US" w:eastAsia="zh-CN"/>
        </w:rPr>
        <w:t>项目总体</w:t>
      </w:r>
      <w:r>
        <w:rPr>
          <w:rFonts w:hint="eastAsia"/>
        </w:rPr>
        <w:t>目标</w:t>
      </w:r>
    </w:p>
    <w:p>
      <w:pPr>
        <w:ind w:firstLine="560"/>
      </w:pPr>
      <w:r>
        <w:rPr>
          <w:rFonts w:hint="eastAsia"/>
        </w:rPr>
        <w:t>按照设置原则和设置标准，在全市公路及城区道路开展交通科技设备建设和联网工作，2020年达到高速公路路段平均5公里、国省道路段平均10公里、其他公路平均15公里、城市道路路段平均2公里设置1处高清视频摄像机，高速公路路段平均10公里、国省道路段平均15公里、农村道路平均20公里、城市快速公路平局3公里、城市主（次）干路平均5公里设置1处高清智能卡口系统的目标。</w:t>
      </w:r>
    </w:p>
    <w:p>
      <w:pPr>
        <w:pStyle w:val="4"/>
        <w:numPr>
          <w:ilvl w:val="0"/>
          <w:numId w:val="8"/>
        </w:numPr>
        <w:ind w:firstLine="562"/>
      </w:pPr>
      <w:r>
        <w:rPr>
          <w:rFonts w:hint="eastAsia"/>
          <w:lang w:val="en-US" w:eastAsia="zh-CN"/>
        </w:rPr>
        <w:t>项目</w:t>
      </w:r>
      <w:r>
        <w:rPr>
          <w:rFonts w:hint="eastAsia"/>
        </w:rPr>
        <w:t>绩效目标</w:t>
      </w:r>
    </w:p>
    <w:p>
      <w:pPr>
        <w:ind w:firstLine="562"/>
        <w:jc w:val="center"/>
        <w:rPr>
          <w:b/>
          <w:bCs/>
        </w:rPr>
      </w:pPr>
      <w:r>
        <w:rPr>
          <w:rFonts w:hint="eastAsia"/>
          <w:b/>
          <w:bCs/>
        </w:rPr>
        <w:t>表1-</w:t>
      </w:r>
      <w:r>
        <w:rPr>
          <w:rFonts w:hint="eastAsia"/>
          <w:b/>
          <w:bCs/>
          <w:lang w:val="en-US" w:eastAsia="zh-CN"/>
        </w:rPr>
        <w:t>1</w:t>
      </w:r>
      <w:r>
        <w:rPr>
          <w:rFonts w:hint="eastAsia"/>
          <w:b/>
          <w:bCs/>
        </w:rPr>
        <w:t>承德市公安局路面科技动态防控工程项目绩效指标表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2262"/>
        <w:gridCol w:w="39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ind w:left="0" w:leftChars="0" w:firstLine="0" w:firstLineChars="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二级指标</w:t>
            </w:r>
          </w:p>
        </w:tc>
        <w:tc>
          <w:tcPr>
            <w:tcW w:w="2262" w:type="dxa"/>
          </w:tcPr>
          <w:p>
            <w:pPr>
              <w:ind w:firstLine="442"/>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三级指标</w:t>
            </w:r>
          </w:p>
        </w:tc>
        <w:tc>
          <w:tcPr>
            <w:tcW w:w="3950" w:type="dxa"/>
          </w:tcPr>
          <w:p>
            <w:pPr>
              <w:ind w:firstLine="442"/>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指标值</w:t>
            </w:r>
          </w:p>
        </w:tc>
        <w:tc>
          <w:tcPr>
            <w:tcW w:w="992" w:type="dxa"/>
          </w:tcPr>
          <w:p>
            <w:pPr>
              <w:ind w:firstLine="0" w:firstLineChars="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pPr>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产出指标</w:t>
            </w: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数量指标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设备采购数量</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pPr>
              <w:ind w:firstLine="440"/>
              <w:jc w:val="center"/>
              <w:rPr>
                <w:rFonts w:hint="eastAsia" w:ascii="仿宋_GB2312" w:hAnsi="仿宋_GB2312" w:eastAsia="仿宋_GB2312" w:cs="仿宋_GB2312"/>
                <w:sz w:val="22"/>
                <w:szCs w:val="22"/>
              </w:rPr>
            </w:pP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质量指标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项目验收合格率</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pPr>
              <w:ind w:firstLine="440"/>
              <w:jc w:val="center"/>
              <w:rPr>
                <w:rFonts w:hint="eastAsia" w:ascii="仿宋_GB2312" w:hAnsi="仿宋_GB2312" w:eastAsia="仿宋_GB2312" w:cs="仿宋_GB2312"/>
                <w:sz w:val="22"/>
                <w:szCs w:val="22"/>
              </w:rPr>
            </w:pP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时效指标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系统故障响应时间</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pPr>
              <w:ind w:firstLine="440"/>
              <w:jc w:val="center"/>
              <w:rPr>
                <w:rFonts w:hint="eastAsia" w:ascii="仿宋_GB2312" w:hAnsi="仿宋_GB2312" w:eastAsia="仿宋_GB2312" w:cs="仿宋_GB2312"/>
                <w:sz w:val="22"/>
                <w:szCs w:val="22"/>
              </w:rPr>
            </w:pP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成本指标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项目总成本</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restart"/>
            <w:vAlign w:val="center"/>
          </w:tcPr>
          <w:p>
            <w:pPr>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效益指标</w:t>
            </w: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社会效益指标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提升道路安全防控能力</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pPr>
              <w:ind w:firstLine="440"/>
              <w:jc w:val="center"/>
              <w:rPr>
                <w:rFonts w:hint="eastAsia" w:ascii="仿宋_GB2312" w:hAnsi="仿宋_GB2312" w:eastAsia="仿宋_GB2312" w:cs="仿宋_GB2312"/>
                <w:sz w:val="22"/>
                <w:szCs w:val="22"/>
              </w:rPr>
            </w:pP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可持续影响指标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城市交通拥堵指数下降</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pPr>
              <w:ind w:firstLine="440"/>
              <w:jc w:val="center"/>
              <w:rPr>
                <w:rFonts w:hint="eastAsia" w:ascii="仿宋_GB2312" w:hAnsi="仿宋_GB2312" w:eastAsia="仿宋_GB2312" w:cs="仿宋_GB2312"/>
                <w:sz w:val="22"/>
                <w:szCs w:val="22"/>
              </w:rPr>
            </w:pP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经济效益指标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资金的使用效率</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Merge w:val="continue"/>
            <w:vAlign w:val="center"/>
          </w:tcPr>
          <w:p>
            <w:pPr>
              <w:ind w:firstLine="440"/>
              <w:jc w:val="center"/>
              <w:rPr>
                <w:rFonts w:hint="eastAsia" w:ascii="仿宋_GB2312" w:hAnsi="仿宋_GB2312" w:eastAsia="仿宋_GB2312" w:cs="仿宋_GB2312"/>
                <w:sz w:val="22"/>
                <w:szCs w:val="22"/>
              </w:rPr>
            </w:pPr>
          </w:p>
        </w:tc>
        <w:tc>
          <w:tcPr>
            <w:tcW w:w="2262"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生态效益指标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加强节约集约利用，促进生态文明建设</w:t>
            </w:r>
          </w:p>
        </w:tc>
        <w:tc>
          <w:tcPr>
            <w:tcW w:w="992" w:type="dxa"/>
          </w:tcPr>
          <w:p>
            <w:pPr>
              <w:ind w:firstLine="0" w:firstLineChars="0"/>
              <w:jc w:val="center"/>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18" w:type="dxa"/>
            <w:vAlign w:val="center"/>
          </w:tcPr>
          <w:p>
            <w:pPr>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满意度指标</w:t>
            </w:r>
          </w:p>
        </w:tc>
        <w:tc>
          <w:tcPr>
            <w:tcW w:w="2262" w:type="dxa"/>
            <w:vAlign w:val="center"/>
          </w:tcPr>
          <w:p>
            <w:pPr>
              <w:widowControl/>
              <w:spacing w:line="240" w:lineRule="exact"/>
              <w:ind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服务对象满意度指标</w:t>
            </w:r>
          </w:p>
        </w:tc>
        <w:tc>
          <w:tcPr>
            <w:tcW w:w="3950" w:type="dxa"/>
            <w:vAlign w:val="center"/>
          </w:tcPr>
          <w:p>
            <w:pPr>
              <w:widowControl/>
              <w:spacing w:line="240" w:lineRule="exact"/>
              <w:ind w:left="0" w:leftChars="0" w:firstLine="0" w:firstLineChars="0"/>
              <w:jc w:val="both"/>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群众满意度</w:t>
            </w:r>
          </w:p>
        </w:tc>
        <w:tc>
          <w:tcPr>
            <w:tcW w:w="992" w:type="dxa"/>
          </w:tcPr>
          <w:p>
            <w:pPr>
              <w:ind w:firstLine="0" w:firstLineChars="0"/>
              <w:jc w:val="center"/>
              <w:rPr>
                <w:rFonts w:hint="eastAsia" w:ascii="仿宋_GB2312" w:hAnsi="仿宋_GB2312" w:eastAsia="仿宋_GB2312" w:cs="仿宋_GB2312"/>
                <w:b/>
                <w:bCs/>
                <w:sz w:val="22"/>
                <w:szCs w:val="22"/>
              </w:rPr>
            </w:pPr>
          </w:p>
        </w:tc>
      </w:tr>
    </w:tbl>
    <w:p>
      <w:pPr>
        <w:ind w:firstLine="0" w:firstLineChars="0"/>
      </w:pPr>
    </w:p>
    <w:p>
      <w:pPr>
        <w:pStyle w:val="2"/>
        <w:ind w:firstLine="643"/>
      </w:pPr>
      <w:bookmarkStart w:id="12" w:name="_Toc29810"/>
      <w:r>
        <w:rPr>
          <w:rFonts w:hint="eastAsia"/>
        </w:rPr>
        <w:t>二、绩效评价工作开展情况</w:t>
      </w:r>
      <w:bookmarkEnd w:id="12"/>
    </w:p>
    <w:p>
      <w:pPr>
        <w:pStyle w:val="3"/>
        <w:ind w:firstLine="562"/>
      </w:pPr>
      <w:bookmarkStart w:id="13" w:name="_Toc28616"/>
      <w:r>
        <w:rPr>
          <w:rFonts w:hint="eastAsia"/>
        </w:rPr>
        <w:t>（一）评价目的、对象和范围</w:t>
      </w:r>
      <w:bookmarkEnd w:id="13"/>
    </w:p>
    <w:p>
      <w:pPr>
        <w:pStyle w:val="4"/>
        <w:ind w:firstLine="562"/>
      </w:pPr>
      <w:r>
        <w:rPr>
          <w:rFonts w:hint="eastAsia"/>
        </w:rPr>
        <w:t>1.评价目的</w:t>
      </w:r>
    </w:p>
    <w:p>
      <w:pPr>
        <w:ind w:firstLine="560"/>
      </w:pPr>
      <w:r>
        <w:rPr>
          <w:rFonts w:hint="eastAsia"/>
        </w:rPr>
        <w:t>通过对承德市公安局路面科技动态防控工程项目的绩效评价，了解项目概况，对项目的立项、实施以及收效的全过程进行梳理，评价项目立项的规范性、分析项目条款的合理性，并结合实施情况，考察该项目实施过程、实施效果，从而客观公正反映项目立项科学性、相关办法实施的有效性、资金管理的规范性和项目的绩效，总结项目实施的经验，发现项目实施过程中存在的问题，提出完善建议，为相关部门决策、实施办法的完善和下一年度预算的制定提供参考依据。</w:t>
      </w:r>
    </w:p>
    <w:p>
      <w:pPr>
        <w:pStyle w:val="4"/>
        <w:numPr>
          <w:ilvl w:val="0"/>
          <w:numId w:val="8"/>
        </w:numPr>
        <w:ind w:firstLine="562"/>
      </w:pPr>
      <w:r>
        <w:rPr>
          <w:rFonts w:hint="eastAsia"/>
        </w:rPr>
        <w:t>评价对象和范围</w:t>
      </w:r>
    </w:p>
    <w:p>
      <w:pPr>
        <w:ind w:firstLine="560"/>
        <w:rPr>
          <w:rFonts w:ascii="仿宋_GB2312" w:hAnsi="仿宋_GB2312" w:cs="仿宋_GB2312"/>
        </w:rPr>
      </w:pPr>
      <w:r>
        <w:rPr>
          <w:rFonts w:hint="eastAsia" w:ascii="仿宋_GB2312" w:hAnsi="仿宋_GB2312" w:cs="仿宋_GB2312"/>
        </w:rPr>
        <w:t>（1）评价对象∶ 2020年承德市公安局路面科技动态防控工程项目；</w:t>
      </w:r>
    </w:p>
    <w:p>
      <w:pPr>
        <w:ind w:firstLine="560"/>
        <w:rPr>
          <w:rFonts w:ascii="仿宋_GB2312" w:hAnsi="仿宋_GB2312" w:cs="仿宋_GB2312"/>
        </w:rPr>
      </w:pPr>
      <w:r>
        <w:rPr>
          <w:rFonts w:hint="eastAsia" w:ascii="仿宋_GB2312" w:hAnsi="仿宋_GB2312" w:cs="仿宋_GB2312"/>
        </w:rPr>
        <w:t xml:space="preserve">（2）评价资金范围∶ </w:t>
      </w:r>
      <w:r>
        <w:rPr>
          <w:rFonts w:hint="eastAsia" w:ascii="仿宋_GB2312" w:hAnsi="仿宋_GB2312" w:cs="仿宋_GB2312"/>
          <w:szCs w:val="28"/>
        </w:rPr>
        <w:t>2020年承德市公安局路面科技动态防控工程项目投资预算981万元；</w:t>
      </w:r>
      <w:r>
        <w:rPr>
          <w:rFonts w:hint="eastAsia" w:ascii="仿宋_GB2312" w:hAnsi="仿宋_GB2312" w:cs="仿宋_GB2312"/>
        </w:rPr>
        <w:t> </w:t>
      </w:r>
    </w:p>
    <w:p>
      <w:pPr>
        <w:ind w:firstLine="560"/>
        <w:rPr>
          <w:rFonts w:ascii="仿宋_GB2312" w:hAnsi="仿宋_GB2312" w:cs="仿宋_GB2312"/>
        </w:rPr>
      </w:pPr>
      <w:r>
        <w:rPr>
          <w:rFonts w:hint="eastAsia" w:ascii="仿宋_GB2312" w:hAnsi="仿宋_GB2312" w:cs="仿宋_GB2312"/>
        </w:rPr>
        <w:t>（3）评价时间段∶2020年1月—2020年12月；</w:t>
      </w:r>
    </w:p>
    <w:p>
      <w:pPr>
        <w:ind w:firstLine="560"/>
        <w:rPr>
          <w:rFonts w:ascii="仿宋_GB2312" w:hAnsi="仿宋_GB2312" w:cs="仿宋_GB2312"/>
        </w:rPr>
      </w:pPr>
      <w:r>
        <w:rPr>
          <w:rFonts w:hint="eastAsia" w:ascii="仿宋_GB2312" w:hAnsi="仿宋_GB2312" w:cs="仿宋_GB2312"/>
        </w:rPr>
        <w:t>（4）评价的主要内容∶ 承德市公安局路面科技动态防控工程项目的决策、过程、产出和效果四个方面等。</w:t>
      </w:r>
    </w:p>
    <w:p>
      <w:pPr>
        <w:pStyle w:val="3"/>
        <w:ind w:firstLine="562"/>
      </w:pPr>
      <w:bookmarkStart w:id="14" w:name="_Toc17219"/>
      <w:r>
        <w:rPr>
          <w:rFonts w:hint="eastAsia"/>
        </w:rPr>
        <w:t>（二）评价原则、依据及方法</w:t>
      </w:r>
      <w:bookmarkEnd w:id="14"/>
    </w:p>
    <w:p>
      <w:pPr>
        <w:pStyle w:val="4"/>
        <w:ind w:firstLine="562"/>
      </w:pPr>
      <w:r>
        <w:rPr>
          <w:rFonts w:hint="eastAsia"/>
        </w:rPr>
        <w:t>1.评价原则</w:t>
      </w:r>
    </w:p>
    <w:p>
      <w:pPr>
        <w:ind w:firstLine="560"/>
        <w:rPr>
          <w:rFonts w:ascii="仿宋_GB2312" w:hAnsi="仿宋_GB2312" w:cs="仿宋_GB2312"/>
        </w:rPr>
      </w:pPr>
      <w:r>
        <w:rPr>
          <w:rFonts w:hint="eastAsia" w:ascii="仿宋_GB2312" w:hAnsi="仿宋_GB2312" w:cs="仿宋_GB2312"/>
        </w:rPr>
        <w:t xml:space="preserve">对于 承德市公安局路面科技动态防控工程项目，根据绩效评价的基本原则，坚持公平、公正、公开的原则，坚持综合绩效评价的原则，坚持定量分析与定性分析的原则，坚持绩效评价与项目支出管理相结合的原则，坚持绩效评价贯穿于事前、事中、事后的原则，以专业的指标分析，对项目做出有理可循，有据可依的评价和建议。 </w:t>
      </w:r>
    </w:p>
    <w:p>
      <w:pPr>
        <w:ind w:firstLine="560"/>
      </w:pPr>
      <w:r>
        <w:rPr>
          <w:rFonts w:hint="eastAsia"/>
        </w:rPr>
        <w:t>根据项目特点，结合财政部、河北省承德市绩效评价的方法和思路，本着科学、可操作的原则，在明确评价对象、范围、目的基础上，探索制定科学的政策绩效评价指标体系，依托绩效评价指标体系，力求从绩效角度对项目的整体状况进行合理、客观的评价。本次评价总体上采用下述思路和方法进行评价。</w:t>
      </w:r>
    </w:p>
    <w:p>
      <w:pPr>
        <w:pStyle w:val="4"/>
        <w:numPr>
          <w:ilvl w:val="0"/>
          <w:numId w:val="7"/>
        </w:numPr>
        <w:ind w:firstLine="562"/>
      </w:pPr>
      <w:r>
        <w:rPr>
          <w:rFonts w:hint="eastAsia"/>
        </w:rPr>
        <w:t>评价依据</w:t>
      </w:r>
    </w:p>
    <w:p>
      <w:pPr>
        <w:widowControl/>
        <w:ind w:firstLine="560"/>
        <w:jc w:val="left"/>
      </w:pPr>
      <w:r>
        <w:rPr>
          <w:rFonts w:ascii="仿宋" w:hAnsi="仿宋" w:eastAsia="仿宋" w:cs="仿宋"/>
          <w:color w:val="000000"/>
          <w:kern w:val="0"/>
          <w:szCs w:val="28"/>
        </w:rPr>
        <w:t>在</w:t>
      </w:r>
      <w:r>
        <w:rPr>
          <w:rFonts w:hint="eastAsia" w:ascii="仿宋_GB2312" w:hAnsi="仿宋_GB2312" w:cs="仿宋_GB2312"/>
          <w:color w:val="000000"/>
          <w:kern w:val="0"/>
          <w:szCs w:val="28"/>
        </w:rPr>
        <w:t xml:space="preserve">评价中依据的绩效管理的相关政策文件依据包含但不限于： </w:t>
      </w:r>
    </w:p>
    <w:p>
      <w:pPr>
        <w:widowControl/>
        <w:ind w:firstLine="560"/>
        <w:jc w:val="left"/>
        <w:rPr>
          <w:rFonts w:ascii="仿宋_GB2312" w:hAnsi="仿宋_GB2312" w:cs="仿宋_GB2312"/>
          <w:color w:val="000000"/>
          <w:kern w:val="0"/>
          <w:szCs w:val="28"/>
        </w:rPr>
      </w:pPr>
      <w:r>
        <w:rPr>
          <w:rFonts w:hint="eastAsia" w:ascii="仿宋_GB2312" w:hAnsi="仿宋_GB2312" w:cs="仿宋_GB2312"/>
          <w:color w:val="000000"/>
          <w:kern w:val="0"/>
          <w:szCs w:val="28"/>
        </w:rPr>
        <w:t>（1）《关于全面实施预算绩效管理的意见》（中发〔2018〕34号）（财预〔2020〕10号）；</w:t>
      </w:r>
    </w:p>
    <w:p>
      <w:pPr>
        <w:widowControl/>
        <w:ind w:firstLine="560"/>
        <w:jc w:val="left"/>
        <w:rPr>
          <w:rFonts w:ascii="仿宋_GB2312" w:hAnsi="仿宋_GB2312" w:cs="仿宋_GB2312"/>
          <w:color w:val="000000"/>
          <w:kern w:val="0"/>
          <w:szCs w:val="28"/>
        </w:rPr>
      </w:pPr>
      <w:r>
        <w:rPr>
          <w:rFonts w:hint="eastAsia" w:ascii="仿宋_GB2312" w:hAnsi="仿宋_GB2312" w:cs="仿宋_GB2312"/>
          <w:color w:val="000000"/>
          <w:kern w:val="0"/>
          <w:szCs w:val="28"/>
        </w:rPr>
        <w:t xml:space="preserve">（2）《财政部关于印发&lt;项目支出绩效评价管理办法&gt;的通知》 </w:t>
      </w:r>
    </w:p>
    <w:p>
      <w:pPr>
        <w:widowControl/>
        <w:ind w:firstLine="560"/>
        <w:jc w:val="left"/>
        <w:rPr>
          <w:rFonts w:ascii="仿宋_GB2312" w:hAnsi="仿宋_GB2312" w:cs="仿宋_GB2312"/>
          <w:color w:val="000000"/>
          <w:kern w:val="0"/>
          <w:szCs w:val="28"/>
        </w:rPr>
      </w:pPr>
      <w:r>
        <w:rPr>
          <w:rFonts w:hint="eastAsia" w:ascii="仿宋_GB2312" w:hAnsi="仿宋_GB2312" w:cs="仿宋_GB2312"/>
          <w:color w:val="000000"/>
          <w:kern w:val="0"/>
          <w:szCs w:val="28"/>
        </w:rPr>
        <w:t xml:space="preserve">（财预〔2020〕10号）； </w:t>
      </w:r>
    </w:p>
    <w:p>
      <w:pPr>
        <w:widowControl/>
        <w:ind w:firstLine="560"/>
        <w:jc w:val="left"/>
        <w:rPr>
          <w:rFonts w:ascii="仿宋_GB2312" w:hAnsi="仿宋_GB2312" w:cs="仿宋_GB2312"/>
          <w:color w:val="000000"/>
          <w:kern w:val="0"/>
          <w:szCs w:val="28"/>
        </w:rPr>
      </w:pPr>
      <w:r>
        <w:rPr>
          <w:rFonts w:hint="eastAsia" w:ascii="仿宋_GB2312" w:hAnsi="仿宋_GB2312" w:cs="仿宋_GB2312"/>
          <w:color w:val="000000"/>
          <w:kern w:val="0"/>
          <w:szCs w:val="28"/>
        </w:rPr>
        <w:t xml:space="preserve">（3）《中国河北省委河北省人民政府关于全面实施预算绩效管理的实施意见》（冀发〔2018〕54号）； </w:t>
      </w:r>
    </w:p>
    <w:p>
      <w:pPr>
        <w:widowControl/>
        <w:ind w:firstLine="560"/>
        <w:jc w:val="left"/>
        <w:rPr>
          <w:rFonts w:ascii="仿宋_GB2312" w:hAnsi="仿宋_GB2312" w:cs="仿宋_GB2312"/>
          <w:szCs w:val="28"/>
        </w:rPr>
      </w:pPr>
      <w:r>
        <w:rPr>
          <w:rFonts w:hint="eastAsia" w:ascii="仿宋_GB2312" w:hAnsi="仿宋_GB2312" w:cs="仿宋_GB2312"/>
          <w:color w:val="000000"/>
          <w:kern w:val="0"/>
          <w:szCs w:val="28"/>
        </w:rPr>
        <w:t xml:space="preserve">（4）《预算绩效管理推进工作方案》（承财绩〔2019〕2号）； </w:t>
      </w:r>
    </w:p>
    <w:p>
      <w:pPr>
        <w:widowControl/>
        <w:ind w:firstLine="560"/>
        <w:jc w:val="left"/>
        <w:rPr>
          <w:rFonts w:ascii="仿宋_GB2312" w:hAnsi="仿宋_GB2312" w:cs="仿宋_GB2312"/>
          <w:color w:val="000000"/>
          <w:kern w:val="0"/>
          <w:szCs w:val="28"/>
        </w:rPr>
      </w:pPr>
      <w:r>
        <w:rPr>
          <w:rFonts w:hint="eastAsia" w:ascii="仿宋_GB2312" w:hAnsi="仿宋_GB2312" w:cs="仿宋_GB2312"/>
          <w:color w:val="000000"/>
          <w:kern w:val="0"/>
          <w:szCs w:val="28"/>
        </w:rPr>
        <w:t>（5）《全面实施预算绩效管理的实施意见》（承发〔2019〕9号）；</w:t>
      </w:r>
    </w:p>
    <w:p>
      <w:pPr>
        <w:widowControl/>
        <w:ind w:firstLine="560"/>
        <w:jc w:val="left"/>
        <w:rPr>
          <w:rFonts w:ascii="仿宋_GB2312" w:hAnsi="仿宋_GB2312" w:cs="仿宋_GB2312"/>
          <w:color w:val="000000"/>
          <w:kern w:val="0"/>
          <w:szCs w:val="28"/>
        </w:rPr>
      </w:pPr>
      <w:r>
        <w:rPr>
          <w:rFonts w:hint="eastAsia" w:ascii="仿宋_GB2312" w:hAnsi="仿宋_GB2312" w:cs="仿宋_GB2312"/>
          <w:color w:val="000000"/>
          <w:kern w:val="0"/>
          <w:szCs w:val="28"/>
        </w:rPr>
        <w:t>（6）项目相关工作计划、工作汇报等。</w:t>
      </w:r>
    </w:p>
    <w:p>
      <w:pPr>
        <w:pStyle w:val="4"/>
        <w:numPr>
          <w:ilvl w:val="0"/>
          <w:numId w:val="7"/>
        </w:numPr>
        <w:ind w:firstLine="562"/>
      </w:pPr>
      <w:r>
        <w:rPr>
          <w:rFonts w:hint="eastAsia"/>
        </w:rPr>
        <w:t>评价方法</w:t>
      </w:r>
    </w:p>
    <w:p>
      <w:pPr>
        <w:ind w:firstLine="560"/>
      </w:pPr>
      <w:r>
        <w:rPr>
          <w:rFonts w:hint="eastAsia"/>
        </w:rPr>
        <w:t>本次绩效评价遵循目标导向性原则、科学客观性原则、公平性原则，采用成本效益分析法、因素分析法、比较法、标杆管理法、公众判断法等，运用定性指标与定量指标相结合、点面分析相结合的分析手段，确保评价结果客观、准确。</w:t>
      </w:r>
    </w:p>
    <w:p>
      <w:pPr>
        <w:pStyle w:val="3"/>
        <w:ind w:firstLine="562"/>
      </w:pPr>
      <w:bookmarkStart w:id="15" w:name="_Toc14029"/>
      <w:r>
        <w:rPr>
          <w:rFonts w:hint="eastAsia"/>
        </w:rPr>
        <w:t>（三）评价指标体系及评价标准说明</w:t>
      </w:r>
      <w:bookmarkEnd w:id="15"/>
    </w:p>
    <w:p>
      <w:pPr>
        <w:pStyle w:val="4"/>
        <w:ind w:firstLine="562"/>
        <w:rPr>
          <w:rFonts w:ascii="仿宋_GB2312" w:hAnsi="仿宋_GB2312" w:cs="仿宋_GB2312"/>
        </w:rPr>
      </w:pPr>
      <w:r>
        <w:rPr>
          <w:rFonts w:hint="eastAsia" w:ascii="仿宋_GB2312" w:hAnsi="仿宋_GB2312" w:cs="仿宋_GB2312"/>
        </w:rPr>
        <w:t>1.评价指标及指标体系</w:t>
      </w:r>
    </w:p>
    <w:p>
      <w:pPr>
        <w:ind w:firstLine="560"/>
      </w:pPr>
      <w:r>
        <w:rPr>
          <w:rFonts w:hint="eastAsia"/>
          <w:szCs w:val="28"/>
        </w:rPr>
        <w:t>本次绩效评价指标设计以</w:t>
      </w:r>
      <w:r>
        <w:rPr>
          <w:rFonts w:hint="eastAsia" w:ascii="宋体" w:hAnsi="宋体"/>
          <w:szCs w:val="28"/>
        </w:rPr>
        <w:t>提升</w:t>
      </w:r>
      <w:r>
        <w:rPr>
          <w:rFonts w:hint="eastAsia"/>
        </w:rPr>
        <w:t>承德市</w:t>
      </w:r>
      <w:r>
        <w:rPr>
          <w:rFonts w:hint="eastAsia" w:ascii="宋体" w:hAnsi="宋体"/>
          <w:szCs w:val="28"/>
        </w:rPr>
        <w:t>公路交通管控科技手段，新增各地交通科技系统及设备，保证道路畅顺安全，有效防范和减少道路交通事故</w:t>
      </w:r>
      <w:r>
        <w:rPr>
          <w:rFonts w:hint="eastAsia"/>
          <w:szCs w:val="28"/>
        </w:rPr>
        <w:t>为着眼点，</w:t>
      </w:r>
      <w:r>
        <w:rPr>
          <w:rFonts w:hint="eastAsia"/>
        </w:rPr>
        <w:t>依据国家、河北省、承德市公安局交通警察支队的定位和要求，依托财政部绩效评价指标体系，在分析政策文件材料的基础上，结合预算和资金使用、管理机制、职责内涵等因素，按照项目内在逻辑性和以结果为导向的原则性，构建了项目决策、项目过程、项目产出及项目效果的绩效评价指标框架。详</w:t>
      </w:r>
      <w:r>
        <w:rPr>
          <w:rFonts w:hint="eastAsia" w:ascii="仿宋_GB2312" w:hAnsi="仿宋_GB2312" w:cs="仿宋_GB2312"/>
        </w:rPr>
        <w:t>见附件</w:t>
      </w:r>
      <w:r>
        <w:rPr>
          <w:rFonts w:hint="eastAsia" w:ascii="仿宋_GB2312" w:hAnsi="仿宋_GB2312" w:cs="仿宋_GB2312"/>
          <w:lang w:val="en-US" w:eastAsia="zh-CN"/>
        </w:rPr>
        <w:t>1</w:t>
      </w:r>
      <w:r>
        <w:rPr>
          <w:rFonts w:hint="eastAsia" w:ascii="仿宋_GB2312" w:hAnsi="仿宋_GB2312" w:cs="仿宋_GB2312"/>
        </w:rPr>
        <w:t>。</w:t>
      </w:r>
    </w:p>
    <w:p>
      <w:pPr>
        <w:ind w:firstLine="560"/>
      </w:pPr>
      <w:r>
        <w:rPr>
          <w:rFonts w:hint="eastAsia"/>
        </w:rPr>
        <w:t>项目决策是考核项目的逻辑起点是否准确，本次评价将从项目 立项情况、绩效目标情况和资金投入三方面来考核项目实施的先决 条件是否完善。项目过程需要组织管理和制度建设来保障实施，缺一不可，因此，在指标体系设置中按照资金管理、项目管理和组织管理进行分类。项目产出涵盖数量、质量、时效和成本，指标设置由此展开。项目效果主要是交通环境提升改善、群众满意度等方面进行量化设计。</w:t>
      </w:r>
    </w:p>
    <w:p>
      <w:pPr>
        <w:pStyle w:val="4"/>
        <w:numPr>
          <w:ilvl w:val="0"/>
          <w:numId w:val="9"/>
        </w:numPr>
        <w:ind w:left="-2" w:leftChars="0" w:firstLine="562" w:firstLineChars="0"/>
      </w:pPr>
      <w:r>
        <w:rPr>
          <w:rFonts w:hint="eastAsia"/>
        </w:rPr>
        <w:t>综合绩效级次评定标准</w:t>
      </w:r>
    </w:p>
    <w:p>
      <w:pPr>
        <w:ind w:firstLine="560"/>
        <w:rPr>
          <w:rFonts w:ascii="仿宋_GB2312" w:hAnsi="仿宋_GB2312" w:cs="仿宋_GB2312"/>
        </w:rPr>
      </w:pPr>
      <w:r>
        <w:rPr>
          <w:rFonts w:hint="eastAsia" w:ascii="仿宋_GB2312" w:hAnsi="仿宋_GB2312" w:cs="仿宋_GB2312"/>
        </w:rPr>
        <w:t xml:space="preserve">本次绩效评价综合绩效级别依据《项目支出绩效评价管理办法》（财预〔2020〕10 号）文件确定，绩效评价结果采取评分和评级相结合的方式，总分设置为 100 分，等级划分为四档： </w:t>
      </w:r>
    </w:p>
    <w:p>
      <w:pPr>
        <w:ind w:firstLine="560"/>
        <w:rPr>
          <w:rFonts w:ascii="仿宋_GB2312" w:hAnsi="仿宋_GB2312" w:cs="仿宋_GB2312"/>
        </w:rPr>
      </w:pPr>
      <w:r>
        <w:rPr>
          <w:rFonts w:hint="eastAsia" w:ascii="仿宋_GB2312" w:hAnsi="仿宋_GB2312" w:cs="仿宋_GB2312"/>
        </w:rPr>
        <w:t xml:space="preserve">综合得分在 90-100 分（含 90 分）为优； </w:t>
      </w:r>
    </w:p>
    <w:p>
      <w:pPr>
        <w:ind w:firstLine="560"/>
        <w:rPr>
          <w:rFonts w:ascii="仿宋_GB2312" w:hAnsi="仿宋_GB2312" w:cs="仿宋_GB2312"/>
        </w:rPr>
      </w:pPr>
      <w:r>
        <w:rPr>
          <w:rFonts w:hint="eastAsia" w:ascii="仿宋_GB2312" w:hAnsi="仿宋_GB2312" w:cs="仿宋_GB2312"/>
        </w:rPr>
        <w:t xml:space="preserve">综合得分在 80—89 分（含 80 分）为良； </w:t>
      </w:r>
    </w:p>
    <w:p>
      <w:pPr>
        <w:ind w:firstLine="560"/>
        <w:rPr>
          <w:rFonts w:ascii="仿宋_GB2312" w:hAnsi="仿宋_GB2312" w:cs="仿宋_GB2312"/>
        </w:rPr>
      </w:pPr>
      <w:r>
        <w:rPr>
          <w:rFonts w:hint="eastAsia" w:ascii="仿宋_GB2312" w:hAnsi="仿宋_GB2312" w:cs="仿宋_GB2312"/>
        </w:rPr>
        <w:t xml:space="preserve">综合得分在 60-79 分（含 60 分）为中； </w:t>
      </w:r>
    </w:p>
    <w:p>
      <w:pPr>
        <w:ind w:firstLine="560"/>
      </w:pPr>
      <w:r>
        <w:rPr>
          <w:rFonts w:hint="eastAsia" w:ascii="仿宋_GB2312" w:hAnsi="仿宋_GB2312" w:cs="仿宋_GB2312"/>
        </w:rPr>
        <w:t>综合得分在 60 分以下为差。</w:t>
      </w:r>
    </w:p>
    <w:p>
      <w:pPr>
        <w:pStyle w:val="3"/>
        <w:ind w:firstLine="562"/>
      </w:pPr>
      <w:bookmarkStart w:id="16" w:name="_Toc5874"/>
      <w:r>
        <w:rPr>
          <w:rFonts w:hint="eastAsia"/>
        </w:rPr>
        <w:t>（四）评价工作过程</w:t>
      </w:r>
      <w:bookmarkEnd w:id="16"/>
    </w:p>
    <w:p>
      <w:pPr>
        <w:pStyle w:val="4"/>
        <w:ind w:firstLine="562"/>
      </w:pPr>
      <w:r>
        <w:rPr>
          <w:rFonts w:hint="eastAsia"/>
        </w:rPr>
        <w:t>1.前期工作</w:t>
      </w:r>
    </w:p>
    <w:p>
      <w:pPr>
        <w:ind w:firstLine="560"/>
      </w:pPr>
      <w:r>
        <w:rPr>
          <w:rFonts w:hint="eastAsia"/>
        </w:rPr>
        <w:t xml:space="preserve">前期准备工作的具体内容如下：  </w:t>
      </w:r>
    </w:p>
    <w:p>
      <w:pPr>
        <w:ind w:firstLine="560"/>
      </w:pPr>
      <w:r>
        <w:rPr>
          <w:rFonts w:hint="eastAsia"/>
        </w:rPr>
        <w:t>（1）成立评价小组，明确评价对象、评价范围、评价流程以及评价方法，再根据评价目内容和实际情况，确定公司评价小组成员名单，并对项目组人员进行业务培训，统一评价思路和方法，落实评价任务。</w:t>
      </w:r>
    </w:p>
    <w:p>
      <w:pPr>
        <w:ind w:firstLine="560"/>
        <w:rPr>
          <w:rFonts w:ascii="仿宋_GB2312" w:hAnsi="仿宋_GB2312" w:cs="仿宋_GB2312"/>
        </w:rPr>
      </w:pPr>
      <w:r>
        <w:rPr>
          <w:rFonts w:hint="eastAsia" w:ascii="仿宋_GB2312" w:hAnsi="仿宋_GB2312" w:cs="仿宋_GB2312"/>
        </w:rPr>
        <w:t>（2）前期调研，首先与项目相关部门工作人员联系，收集相关资料，政策法规和行业资料，准备评价工作实施阶段所需收集的资料清单，进行实地调研；其次根据调研内容，设计绩效指标，编制评价方案和相关调查问卷及访谈提纲；最后征求项目实施单位意见，完善指标体系的设置，并向绩效组织方提交评价方案，并根据方案意见进行修订。</w:t>
      </w:r>
    </w:p>
    <w:p>
      <w:pPr>
        <w:pStyle w:val="4"/>
        <w:numPr>
          <w:ilvl w:val="0"/>
          <w:numId w:val="0"/>
        </w:numPr>
        <w:ind w:left="560" w:leftChars="0"/>
      </w:pPr>
      <w:r>
        <w:rPr>
          <w:rFonts w:hint="eastAsia"/>
          <w:lang w:val="en-US" w:eastAsia="zh-CN"/>
        </w:rPr>
        <w:t>2.</w:t>
      </w:r>
      <w:r>
        <w:rPr>
          <w:rFonts w:hint="eastAsia"/>
        </w:rPr>
        <w:t>组织实施</w:t>
      </w:r>
    </w:p>
    <w:p>
      <w:pPr>
        <w:ind w:firstLine="560"/>
      </w:pPr>
      <w:r>
        <w:rPr>
          <w:rFonts w:hint="eastAsia"/>
        </w:rPr>
        <w:t>根据评价工作总体要求，结合承德市公安局路面科技动态防控工程项目财政支出情况制定具体评价工作方案和评价指标体系，评价</w:t>
      </w:r>
      <w:r>
        <w:rPr>
          <w:rFonts w:hint="eastAsia"/>
          <w:lang w:val="en-US" w:eastAsia="zh-CN"/>
        </w:rPr>
        <w:t>小</w:t>
      </w:r>
      <w:r>
        <w:rPr>
          <w:rFonts w:hint="eastAsia"/>
        </w:rPr>
        <w:t>组</w:t>
      </w:r>
      <w:r>
        <w:rPr>
          <w:rFonts w:hint="eastAsia"/>
          <w:lang w:val="en-US" w:eastAsia="zh-CN"/>
        </w:rPr>
        <w:t>成员</w:t>
      </w:r>
      <w:r>
        <w:rPr>
          <w:rFonts w:hint="eastAsia"/>
        </w:rPr>
        <w:t>对所选取的项目承担单位进行现场调研。采取勘察、问询、复核等多种方式，对调研项目的有关情况进行核实，并对所掌握的有关信息资料进行分类、整理和初步分析</w:t>
      </w:r>
      <w:r>
        <w:rPr>
          <w:rFonts w:hint="eastAsia"/>
          <w:lang w:eastAsia="zh-CN"/>
        </w:rPr>
        <w:t>、指标评分和报告撰写等环节，顺利完成本次评价工作。</w:t>
      </w:r>
    </w:p>
    <w:p>
      <w:pPr>
        <w:pStyle w:val="4"/>
        <w:ind w:firstLine="562"/>
      </w:pPr>
      <w:r>
        <w:rPr>
          <w:rFonts w:hint="eastAsia"/>
        </w:rPr>
        <w:t>3.评审会</w:t>
      </w:r>
    </w:p>
    <w:p>
      <w:pPr>
        <w:ind w:firstLine="560"/>
      </w:pPr>
      <w:r>
        <w:rPr>
          <w:rFonts w:hint="eastAsia"/>
        </w:rPr>
        <w:t>评价小组、委托方、项目单位沟通后，组织召开评审会，根据整理后的数据和已确定的评价指标，针对项目实施必要性、项目实施可行性、项目绩效目标实现情况、财政支持范围方式、项目预算编制等方面进行重点分析。在数据分析过程中，广泛运用各种数据分析工具，完成指标评分、绩效分析、工作底稿、评分结果综合提炼等步骤，形成评价结论，找出了项目单位存在的问题并提出相关建议。</w:t>
      </w:r>
    </w:p>
    <w:p>
      <w:pPr>
        <w:pStyle w:val="4"/>
        <w:ind w:firstLine="562"/>
      </w:pPr>
      <w:r>
        <w:rPr>
          <w:rFonts w:hint="eastAsia"/>
        </w:rPr>
        <w:t>4.分析评价</w:t>
      </w:r>
    </w:p>
    <w:p>
      <w:pPr>
        <w:ind w:firstLine="560"/>
      </w:pPr>
      <w:r>
        <w:rPr>
          <w:rFonts w:hint="eastAsia"/>
        </w:rPr>
        <w:t>评价小组根据收集到的项目相关资料以及</w:t>
      </w:r>
      <w:r>
        <w:rPr>
          <w:rFonts w:hint="eastAsia"/>
          <w:lang w:val="en-US" w:eastAsia="zh-CN"/>
        </w:rPr>
        <w:t>评审会意见</w:t>
      </w:r>
      <w:r>
        <w:rPr>
          <w:rFonts w:hint="eastAsia"/>
        </w:rPr>
        <w:t>，对项目决策、过程、产出和效果情况进行综合分析，按照规定的文本格式和内容撰写绩效评价报告。评价小组提交绩效评价报告初稿并征求意见。然后根据反馈意见，修改形成绩效评价报告正式稿。</w:t>
      </w:r>
    </w:p>
    <w:p>
      <w:pPr>
        <w:pStyle w:val="2"/>
        <w:ind w:firstLine="643"/>
      </w:pPr>
      <w:bookmarkStart w:id="17" w:name="_Toc30758"/>
      <w:r>
        <w:rPr>
          <w:rFonts w:hint="eastAsia"/>
        </w:rPr>
        <w:t>三、综合评价情况及评价结论</w:t>
      </w:r>
      <w:bookmarkEnd w:id="17"/>
    </w:p>
    <w:p>
      <w:pPr>
        <w:ind w:firstLine="560"/>
        <w:rPr>
          <w:rFonts w:ascii="仿宋_GB2312" w:hAnsi="仿宋_GB2312" w:cs="仿宋_GB2312"/>
        </w:rPr>
      </w:pPr>
      <w:r>
        <w:rPr>
          <w:rFonts w:hint="eastAsia" w:ascii="仿宋_GB2312" w:hAnsi="仿宋_GB2312" w:cs="仿宋_GB2312"/>
        </w:rPr>
        <w:t>按照上述绩效评价指标体系及绩效评价工作过程</w:t>
      </w:r>
      <w:r>
        <w:rPr>
          <w:rFonts w:hint="eastAsia" w:ascii="仿宋_GB2312" w:hAnsi="仿宋_GB2312" w:cs="仿宋_GB2312"/>
          <w:lang w:eastAsia="zh-CN"/>
        </w:rPr>
        <w:t>，</w:t>
      </w:r>
      <w:r>
        <w:rPr>
          <w:rFonts w:hint="eastAsia"/>
        </w:rPr>
        <w:t>承德市公安局路面科技动态防控工程项目</w:t>
      </w:r>
      <w:r>
        <w:rPr>
          <w:rFonts w:hint="eastAsia" w:ascii="仿宋_GB2312" w:hAnsi="仿宋_GB2312" w:cs="仿宋_GB2312"/>
        </w:rPr>
        <w:t>各指标得分和综合评价结论具体如下：</w:t>
      </w:r>
    </w:p>
    <w:p>
      <w:pPr>
        <w:ind w:firstLine="562"/>
        <w:rPr>
          <w:rFonts w:ascii="仿宋_GB2312" w:hAnsi="仿宋_GB2312" w:cs="仿宋_GB2312"/>
        </w:rPr>
      </w:pPr>
      <w:r>
        <w:rPr>
          <w:rFonts w:hint="eastAsia" w:ascii="仿宋_GB2312" w:hAnsi="仿宋_GB2312" w:cs="仿宋_GB2312"/>
          <w:b/>
          <w:bCs/>
        </w:rPr>
        <w:t>项目决策方面。该指标分值10 分，评价得分9分。</w:t>
      </w:r>
      <w:r>
        <w:rPr>
          <w:rFonts w:hint="eastAsia" w:ascii="仿宋_GB2312" w:hAnsi="仿宋_GB2312" w:cs="仿宋_GB2312"/>
        </w:rPr>
        <w:t>项目立项依据充分、程序规范，符合国家、河北省承德市对交通质量提升的要求。该项目资金分配合理，预算编制科学，但是在建立明确的绩效目标和合理的绩效指标方面仍有提升空间。</w:t>
      </w:r>
    </w:p>
    <w:p>
      <w:pPr>
        <w:ind w:firstLine="562"/>
        <w:rPr>
          <w:rFonts w:ascii="仿宋_GB2312" w:hAnsi="仿宋_GB2312" w:cs="仿宋_GB2312"/>
        </w:rPr>
      </w:pPr>
      <w:r>
        <w:rPr>
          <w:rFonts w:hint="eastAsia" w:ascii="仿宋_GB2312" w:hAnsi="仿宋_GB2312" w:cs="仿宋_GB2312"/>
          <w:b/>
          <w:bCs/>
        </w:rPr>
        <w:t>项目过程方面。该指标分值30分，评价得分27.63分。</w:t>
      </w:r>
      <w:r>
        <w:rPr>
          <w:rFonts w:hint="eastAsia" w:ascii="仿宋_GB2312" w:hAnsi="仿宋_GB2312" w:cs="仿宋_GB2312"/>
        </w:rPr>
        <w:t>项目程序规范，且执行有效。财务会计管理核算较规范，资金使用情况符合相关法律法规、制度和规定。仍需多关注项目预算执行率，加快项目实施进度；应该严格执行制度管理，资金管理、会计核算有待加强。项目招投标程序合规合法，采购验收程序规范。项目档案管理制度完善，资料收集保存较完善，但项目在实施过程缺乏监督考核，导致分工实施进度慢，需加强项目管理。</w:t>
      </w:r>
    </w:p>
    <w:p>
      <w:pPr>
        <w:ind w:firstLine="562"/>
        <w:jc w:val="both"/>
        <w:rPr>
          <w:rFonts w:ascii="仿宋_GB2312" w:hAnsi="仿宋_GB2312" w:cs="仿宋_GB2312"/>
        </w:rPr>
      </w:pPr>
      <w:r>
        <w:rPr>
          <w:rFonts w:hint="eastAsia" w:ascii="仿宋_GB2312" w:hAnsi="仿宋_GB2312" w:cs="仿宋_GB2312"/>
          <w:b/>
          <w:bCs/>
          <w:szCs w:val="28"/>
        </w:rPr>
        <w:t>项目产出方面。该指标分值30分，评价得分27分。</w:t>
      </w:r>
      <w:r>
        <w:rPr>
          <w:rFonts w:hint="eastAsia" w:ascii="仿宋_GB2312" w:hAnsi="仿宋_GB2312" w:cs="仿宋_GB2312"/>
          <w:szCs w:val="28"/>
        </w:rPr>
        <w:t>承德市公安局路面科技动态防控工程项目资金主要用于卡口系统建设、违法测速系统建设、</w:t>
      </w:r>
      <w:r>
        <w:rPr>
          <w:rFonts w:hint="eastAsia" w:ascii="宋体" w:hAnsi="宋体"/>
          <w:szCs w:val="28"/>
        </w:rPr>
        <w:t>电子警察系统建设、道路监控系等系统建设，根据项目资料和现场调研，该采购类项目基本完成了设备的采购及安装调试，也存在部分设备涉及名称、规格型号及参数的变更，变更流程合理合规，在设备升级改造中</w:t>
      </w:r>
      <w:r>
        <w:rPr>
          <w:rFonts w:hint="eastAsia" w:ascii="仿宋_GB2312" w:hAnsi="仿宋_GB2312" w:cs="仿宋_GB2312"/>
          <w:szCs w:val="28"/>
        </w:rPr>
        <w:t>由于前期现场勘察工作不充分，导致进度缓慢，现已完成建设，并进行了对相关专业技术人员的系统培训，同时也组成了专业性很强的设备运维队伍，</w:t>
      </w:r>
      <w:r>
        <w:rPr>
          <w:rFonts w:hint="eastAsia" w:ascii="仿宋_GB2312" w:hAnsi="仿宋_GB2312" w:cs="仿宋_GB2312"/>
        </w:rPr>
        <w:t>定期能够对主要设备、软件、整个系统进行维护，检查系统运行情况，及时发现问题隐患并加以解决。项目建设基本达到预期目标，项目实施及时性和预算成本控制方面较好，仍有提升空间。</w:t>
      </w:r>
    </w:p>
    <w:p>
      <w:pPr>
        <w:ind w:firstLine="562"/>
        <w:rPr>
          <w:rFonts w:ascii="仿宋_GB2312" w:hAnsi="仿宋_GB2312" w:cs="仿宋_GB2312"/>
        </w:rPr>
      </w:pPr>
      <w:r>
        <w:rPr>
          <w:rFonts w:hint="eastAsia" w:ascii="仿宋_GB2312" w:hAnsi="仿宋_GB2312" w:cs="仿宋_GB2312"/>
          <w:b/>
          <w:bCs/>
        </w:rPr>
        <w:t>项目效果方面。该指标分值30分，评价得分29分。</w:t>
      </w:r>
      <w:r>
        <w:rPr>
          <w:rFonts w:hint="eastAsia" w:ascii="仿宋_GB2312" w:hAnsi="仿宋_GB2312" w:cs="仿宋_GB2312"/>
        </w:rPr>
        <w:t>该项目在实施在效果方面，一是通过</w:t>
      </w:r>
      <w:r>
        <w:rPr>
          <w:rFonts w:hint="eastAsia"/>
        </w:rPr>
        <w:t>高清智能卡口子系统建设和高清电警抓拍子系统建设</w:t>
      </w:r>
      <w:r>
        <w:rPr>
          <w:rFonts w:hint="eastAsia" w:ascii="仿宋_GB2312" w:hAnsi="仿宋_GB2312" w:cs="仿宋_GB2312"/>
        </w:rPr>
        <w:t>能为治安案件的侦破提供有力的线索证据，同时为交通管理、交通规划、道路养护提供重要的基础和运行数据，在城市治安及交通管理过程中发挥了重要的作用，对解决公安警力不足、提高执法水平有着十分重要的意义，成效显著；二是项目的投入使用进一步完善了承德市道路监控系统，加强了系统关联和监控信息综合应用，提升了承德市公安交通警察支队信息化水平和核心战斗力，更好的服务了指导疏导交通、防范交通事故、维护社会稳定，为创建平安城市打下了基础；三是进一步</w:t>
      </w:r>
      <w:r>
        <w:rPr>
          <w:rFonts w:hint="eastAsia" w:ascii="仿宋_GB2312" w:hAnsi="仿宋_GB2312" w:cs="仿宋_GB2312"/>
          <w:color w:val="000000"/>
          <w:kern w:val="0"/>
          <w:szCs w:val="28"/>
        </w:rPr>
        <w:t>提高了城市交通管理水平，加强了原有交通管理的基础功能，实现交通数据深度研判分析，提高了社会化服务水平，</w:t>
      </w:r>
      <w:r>
        <w:rPr>
          <w:rFonts w:hint="eastAsia" w:ascii="仿宋_GB2312" w:hAnsi="仿宋_GB2312" w:cs="仿宋_GB2312"/>
        </w:rPr>
        <w:t>受到了群众的一致好评。</w:t>
      </w:r>
    </w:p>
    <w:p>
      <w:pPr>
        <w:ind w:firstLine="562"/>
        <w:rPr>
          <w:rFonts w:ascii="仿宋_GB2312" w:hAnsi="仿宋_GB2312" w:cs="仿宋_GB2312"/>
        </w:rPr>
      </w:pPr>
      <w:r>
        <w:rPr>
          <w:rFonts w:hint="eastAsia" w:ascii="仿宋_GB2312" w:hAnsi="仿宋_GB2312" w:cs="仿宋_GB2312"/>
          <w:b/>
          <w:bCs/>
        </w:rPr>
        <w:t>综上，该项目绩效评价得分为 92.63分，综合绩效级别为 “优”。</w:t>
      </w:r>
      <w:r>
        <w:rPr>
          <w:rFonts w:hint="eastAsia" w:ascii="仿宋_GB2312" w:hAnsi="仿宋_GB2312" w:cs="仿宋_GB2312"/>
        </w:rPr>
        <w:t>评价认为，该项目投入合理、规范，过程管理较为有效，产出达到预定目标，效果显著。各指标的详细得分情况详见附件</w:t>
      </w:r>
      <w:r>
        <w:rPr>
          <w:rFonts w:hint="eastAsia" w:ascii="仿宋_GB2312" w:hAnsi="仿宋_GB2312" w:cs="仿宋_GB2312"/>
          <w:lang w:val="en-US" w:eastAsia="zh-CN"/>
        </w:rPr>
        <w:t>1</w:t>
      </w:r>
      <w:r>
        <w:rPr>
          <w:rFonts w:hint="eastAsia" w:ascii="仿宋_GB2312" w:hAnsi="仿宋_GB2312" w:cs="仿宋_GB2312"/>
        </w:rPr>
        <w:t>。</w:t>
      </w:r>
    </w:p>
    <w:p>
      <w:pPr>
        <w:pStyle w:val="2"/>
        <w:numPr>
          <w:ilvl w:val="0"/>
          <w:numId w:val="10"/>
        </w:numPr>
        <w:ind w:firstLine="643"/>
      </w:pPr>
      <w:bookmarkStart w:id="18" w:name="_Toc31180"/>
      <w:r>
        <w:rPr>
          <w:rFonts w:hint="eastAsia"/>
        </w:rPr>
        <w:t>绩效评价指标分析</w:t>
      </w:r>
      <w:bookmarkEnd w:id="18"/>
    </w:p>
    <w:p>
      <w:pPr>
        <w:ind w:firstLine="560"/>
      </w:pPr>
      <w:r>
        <w:rPr>
          <w:rFonts w:hint="eastAsia"/>
        </w:rPr>
        <w:t>项目组根据绩效基本原理，采用比较法、因素分析法等方法，按照《承德市公安局路面科技动态防控工程项目评价指标体系》，对承德市公安局路面科技动态防控工程项目进行评价及分析。</w:t>
      </w:r>
    </w:p>
    <w:p>
      <w:pPr>
        <w:pStyle w:val="3"/>
        <w:ind w:firstLine="562"/>
      </w:pPr>
      <w:bookmarkStart w:id="19" w:name="_Toc18053"/>
      <w:r>
        <w:rPr>
          <w:rFonts w:hint="eastAsia"/>
        </w:rPr>
        <w:t>（一）项目决策情况</w:t>
      </w:r>
      <w:bookmarkEnd w:id="19"/>
    </w:p>
    <w:p>
      <w:pPr>
        <w:ind w:firstLine="560"/>
      </w:pPr>
      <w:r>
        <w:rPr>
          <w:rFonts w:hint="eastAsia" w:ascii="仿宋_GB2312" w:hAnsi="仿宋_GB2312" w:cs="仿宋_GB2312"/>
        </w:rPr>
        <w:t>对项目决策情况的考察主要从项目立项、绩效目标和资金投入 三方面入手，共涉及6个三级指标，指标满分10分，评价得分9分。从整体上看，项目决策情况为优。相关指标得分情况如下（见表 4-1）。</w:t>
      </w:r>
    </w:p>
    <w:p>
      <w:pPr>
        <w:ind w:firstLine="562"/>
        <w:jc w:val="center"/>
        <w:rPr>
          <w:b/>
          <w:bCs/>
        </w:rPr>
      </w:pPr>
      <w:r>
        <w:rPr>
          <w:rFonts w:hint="eastAsia"/>
          <w:b/>
          <w:bCs/>
        </w:rPr>
        <w:t>表4-1项目决策指标得分表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300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一级指标</w:t>
            </w:r>
          </w:p>
        </w:tc>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二级指标</w:t>
            </w:r>
          </w:p>
        </w:tc>
        <w:tc>
          <w:tcPr>
            <w:tcW w:w="3002"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三级指标</w:t>
            </w:r>
          </w:p>
        </w:tc>
        <w:tc>
          <w:tcPr>
            <w:tcW w:w="1260" w:type="dxa"/>
          </w:tcPr>
          <w:p>
            <w:pPr>
              <w:ind w:firstLine="0" w:firstLineChars="0"/>
              <w:jc w:val="center"/>
              <w:rPr>
                <w:rFonts w:ascii="仿宋_GB2312" w:hAnsi="仿宋_GB2312" w:cs="仿宋_GB2312"/>
                <w:b/>
                <w:bCs/>
                <w:sz w:val="22"/>
                <w:szCs w:val="22"/>
              </w:rPr>
            </w:pPr>
            <w:r>
              <w:rPr>
                <w:rFonts w:hint="eastAsia" w:ascii="仿宋_GB2312" w:hAnsi="仿宋_GB2312" w:cs="仿宋_GB2312"/>
                <w:b/>
                <w:bCs/>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项目决策</w:t>
            </w:r>
          </w:p>
          <w:p>
            <w:pPr>
              <w:ind w:firstLine="440"/>
              <w:jc w:val="left"/>
              <w:rPr>
                <w:rFonts w:ascii="仿宋_GB2312" w:hAnsi="仿宋_GB2312" w:cs="仿宋_GB2312"/>
                <w:sz w:val="22"/>
                <w:szCs w:val="22"/>
              </w:rPr>
            </w:pPr>
            <w:r>
              <w:rPr>
                <w:rFonts w:hint="eastAsia" w:ascii="仿宋_GB2312" w:hAnsi="仿宋_GB2312" w:cs="仿宋_GB2312"/>
                <w:sz w:val="22"/>
                <w:szCs w:val="22"/>
              </w:rPr>
              <w:t>权重：10</w:t>
            </w:r>
          </w:p>
        </w:tc>
        <w:tc>
          <w:tcPr>
            <w:tcW w:w="2130" w:type="dxa"/>
            <w:vMerge w:val="restart"/>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项目立项</w:t>
            </w:r>
          </w:p>
          <w:p>
            <w:pPr>
              <w:ind w:firstLine="440"/>
              <w:jc w:val="left"/>
              <w:rPr>
                <w:rFonts w:ascii="仿宋_GB2312" w:hAnsi="仿宋_GB2312" w:cs="仿宋_GB2312"/>
                <w:sz w:val="22"/>
                <w:szCs w:val="22"/>
              </w:rPr>
            </w:pPr>
            <w:r>
              <w:rPr>
                <w:rFonts w:hint="eastAsia" w:ascii="仿宋_GB2312" w:hAnsi="仿宋_GB2312" w:cs="仿宋_GB2312"/>
                <w:sz w:val="22"/>
                <w:szCs w:val="22"/>
              </w:rPr>
              <w:t>权重：4</w:t>
            </w:r>
          </w:p>
        </w:tc>
        <w:tc>
          <w:tcPr>
            <w:tcW w:w="3002" w:type="dxa"/>
          </w:tcPr>
          <w:p>
            <w:pPr>
              <w:ind w:firstLine="0" w:firstLineChars="0"/>
              <w:rPr>
                <w:rFonts w:ascii="仿宋_GB2312" w:hAnsi="仿宋_GB2312" w:cs="仿宋_GB2312"/>
                <w:sz w:val="22"/>
                <w:szCs w:val="22"/>
              </w:rPr>
            </w:pPr>
            <w:r>
              <w:rPr>
                <w:rFonts w:hint="eastAsia" w:ascii="仿宋_GB2312" w:hAnsi="仿宋_GB2312" w:cs="仿宋_GB2312"/>
                <w:sz w:val="22"/>
                <w:szCs w:val="22"/>
              </w:rPr>
              <w:t>立项依据充分性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权重：2</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left"/>
              <w:rPr>
                <w:rFonts w:ascii="仿宋_GB2312" w:hAnsi="仿宋_GB2312" w:cs="仿宋_GB2312"/>
                <w:sz w:val="22"/>
                <w:szCs w:val="22"/>
              </w:rPr>
            </w:pPr>
          </w:p>
        </w:tc>
        <w:tc>
          <w:tcPr>
            <w:tcW w:w="3002" w:type="dxa"/>
          </w:tcPr>
          <w:p>
            <w:pPr>
              <w:ind w:firstLine="0" w:firstLineChars="0"/>
              <w:rPr>
                <w:rFonts w:ascii="仿宋_GB2312" w:hAnsi="仿宋_GB2312" w:cs="仿宋_GB2312"/>
                <w:sz w:val="22"/>
                <w:szCs w:val="22"/>
              </w:rPr>
            </w:pPr>
            <w:r>
              <w:rPr>
                <w:rFonts w:hint="eastAsia" w:ascii="仿宋_GB2312" w:hAnsi="仿宋_GB2312" w:cs="仿宋_GB2312"/>
                <w:sz w:val="22"/>
                <w:szCs w:val="22"/>
              </w:rPr>
              <w:t>立项程序规范性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权重：2</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restart"/>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绩效目标</w:t>
            </w:r>
          </w:p>
          <w:p>
            <w:pPr>
              <w:ind w:firstLine="440"/>
              <w:jc w:val="left"/>
              <w:rPr>
                <w:rFonts w:ascii="仿宋_GB2312" w:hAnsi="仿宋_GB2312" w:cs="仿宋_GB2312"/>
                <w:sz w:val="22"/>
                <w:szCs w:val="22"/>
              </w:rPr>
            </w:pPr>
            <w:r>
              <w:rPr>
                <w:rFonts w:hint="eastAsia" w:ascii="仿宋_GB2312" w:hAnsi="仿宋_GB2312" w:cs="仿宋_GB2312"/>
                <w:sz w:val="22"/>
                <w:szCs w:val="22"/>
              </w:rPr>
              <w:t>权重：2</w:t>
            </w:r>
          </w:p>
        </w:tc>
        <w:tc>
          <w:tcPr>
            <w:tcW w:w="3002" w:type="dxa"/>
          </w:tcPr>
          <w:p>
            <w:pPr>
              <w:ind w:firstLine="0" w:firstLineChars="0"/>
              <w:rPr>
                <w:rFonts w:ascii="仿宋_GB2312" w:hAnsi="仿宋_GB2312" w:cs="仿宋_GB2312"/>
                <w:sz w:val="22"/>
                <w:szCs w:val="22"/>
              </w:rPr>
            </w:pPr>
            <w:r>
              <w:rPr>
                <w:rFonts w:hint="eastAsia" w:ascii="仿宋_GB2312" w:hAnsi="仿宋_GB2312" w:cs="仿宋_GB2312"/>
                <w:sz w:val="22"/>
                <w:szCs w:val="22"/>
              </w:rPr>
              <w:t>目标设置完整性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权重：1</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left"/>
              <w:rPr>
                <w:rFonts w:ascii="仿宋_GB2312" w:hAnsi="仿宋_GB2312" w:cs="仿宋_GB2312"/>
                <w:sz w:val="22"/>
                <w:szCs w:val="22"/>
              </w:rPr>
            </w:pPr>
          </w:p>
        </w:tc>
        <w:tc>
          <w:tcPr>
            <w:tcW w:w="3002" w:type="dxa"/>
          </w:tcPr>
          <w:p>
            <w:pPr>
              <w:ind w:firstLine="0" w:firstLineChars="0"/>
              <w:rPr>
                <w:rFonts w:ascii="仿宋_GB2312" w:hAnsi="仿宋_GB2312" w:cs="仿宋_GB2312"/>
                <w:sz w:val="22"/>
                <w:szCs w:val="22"/>
              </w:rPr>
            </w:pPr>
            <w:r>
              <w:rPr>
                <w:rFonts w:hint="eastAsia" w:ascii="仿宋_GB2312" w:hAnsi="仿宋_GB2312" w:cs="仿宋_GB2312"/>
                <w:sz w:val="22"/>
                <w:szCs w:val="22"/>
              </w:rPr>
              <w:t>目标设置科学性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权重：1</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restart"/>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资金投入</w:t>
            </w:r>
          </w:p>
          <w:p>
            <w:pPr>
              <w:ind w:firstLine="440"/>
              <w:jc w:val="left"/>
              <w:rPr>
                <w:rFonts w:ascii="仿宋_GB2312" w:hAnsi="仿宋_GB2312" w:cs="仿宋_GB2312"/>
                <w:sz w:val="22"/>
                <w:szCs w:val="22"/>
              </w:rPr>
            </w:pPr>
            <w:r>
              <w:rPr>
                <w:rFonts w:hint="eastAsia" w:ascii="仿宋_GB2312" w:hAnsi="仿宋_GB2312" w:cs="仿宋_GB2312"/>
                <w:sz w:val="22"/>
                <w:szCs w:val="22"/>
              </w:rPr>
              <w:t>权重：4</w:t>
            </w:r>
          </w:p>
        </w:tc>
        <w:tc>
          <w:tcPr>
            <w:tcW w:w="3002" w:type="dxa"/>
          </w:tcPr>
          <w:p>
            <w:pPr>
              <w:ind w:firstLine="0" w:firstLineChars="0"/>
              <w:rPr>
                <w:rFonts w:ascii="仿宋_GB2312" w:hAnsi="仿宋_GB2312" w:cs="仿宋_GB2312"/>
                <w:sz w:val="22"/>
                <w:szCs w:val="22"/>
              </w:rPr>
            </w:pPr>
            <w:r>
              <w:rPr>
                <w:rFonts w:hint="eastAsia" w:ascii="仿宋_GB2312" w:hAnsi="仿宋_GB2312" w:cs="仿宋_GB2312"/>
                <w:sz w:val="22"/>
                <w:szCs w:val="22"/>
              </w:rPr>
              <w:t>预算编制科学性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权重：2</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ind w:firstLine="440"/>
              <w:jc w:val="center"/>
              <w:rPr>
                <w:rFonts w:ascii="仿宋_GB2312" w:hAnsi="仿宋_GB2312" w:cs="仿宋_GB2312"/>
                <w:sz w:val="22"/>
                <w:szCs w:val="22"/>
              </w:rPr>
            </w:pPr>
          </w:p>
        </w:tc>
        <w:tc>
          <w:tcPr>
            <w:tcW w:w="2130" w:type="dxa"/>
            <w:vMerge w:val="continue"/>
          </w:tcPr>
          <w:p>
            <w:pPr>
              <w:ind w:firstLine="440"/>
              <w:jc w:val="center"/>
              <w:rPr>
                <w:rFonts w:ascii="仿宋_GB2312" w:hAnsi="仿宋_GB2312" w:cs="仿宋_GB2312"/>
                <w:sz w:val="22"/>
                <w:szCs w:val="22"/>
              </w:rPr>
            </w:pPr>
          </w:p>
        </w:tc>
        <w:tc>
          <w:tcPr>
            <w:tcW w:w="3002" w:type="dxa"/>
          </w:tcPr>
          <w:p>
            <w:pPr>
              <w:ind w:firstLine="0" w:firstLineChars="0"/>
              <w:rPr>
                <w:rFonts w:ascii="仿宋_GB2312" w:hAnsi="仿宋_GB2312" w:cs="仿宋_GB2312"/>
                <w:sz w:val="22"/>
                <w:szCs w:val="22"/>
              </w:rPr>
            </w:pPr>
            <w:r>
              <w:rPr>
                <w:rFonts w:hint="eastAsia" w:ascii="仿宋_GB2312" w:hAnsi="仿宋_GB2312" w:cs="仿宋_GB2312"/>
                <w:sz w:val="22"/>
                <w:szCs w:val="22"/>
              </w:rPr>
              <w:t>资金分配合理性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权重：2</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440"/>
              <w:jc w:val="center"/>
              <w:rPr>
                <w:rFonts w:ascii="仿宋_GB2312" w:hAnsi="仿宋_GB2312" w:cs="仿宋_GB2312"/>
                <w:sz w:val="22"/>
                <w:szCs w:val="22"/>
              </w:rPr>
            </w:pPr>
            <w:r>
              <w:rPr>
                <w:rFonts w:hint="eastAsia" w:ascii="仿宋_GB2312" w:hAnsi="仿宋_GB2312" w:cs="仿宋_GB2312"/>
                <w:sz w:val="22"/>
                <w:szCs w:val="22"/>
              </w:rPr>
              <w:t>小计</w:t>
            </w:r>
          </w:p>
        </w:tc>
        <w:tc>
          <w:tcPr>
            <w:tcW w:w="2130" w:type="dxa"/>
          </w:tcPr>
          <w:p>
            <w:pPr>
              <w:ind w:firstLine="440"/>
              <w:jc w:val="center"/>
              <w:rPr>
                <w:rFonts w:ascii="仿宋_GB2312" w:hAnsi="仿宋_GB2312" w:cs="仿宋_GB2312"/>
                <w:sz w:val="22"/>
                <w:szCs w:val="22"/>
              </w:rPr>
            </w:pPr>
          </w:p>
        </w:tc>
        <w:tc>
          <w:tcPr>
            <w:tcW w:w="3002" w:type="dxa"/>
          </w:tcPr>
          <w:p>
            <w:pPr>
              <w:ind w:firstLine="0" w:firstLineChars="0"/>
              <w:rPr>
                <w:rFonts w:ascii="仿宋_GB2312" w:hAnsi="仿宋_GB2312" w:cs="仿宋_GB2312"/>
                <w:sz w:val="22"/>
                <w:szCs w:val="22"/>
              </w:rPr>
            </w:pP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9</w:t>
            </w:r>
          </w:p>
        </w:tc>
      </w:tr>
    </w:tbl>
    <w:p>
      <w:pPr>
        <w:ind w:firstLine="0" w:firstLineChars="0"/>
        <w:rPr>
          <w:b/>
          <w:bCs/>
        </w:rPr>
      </w:pPr>
    </w:p>
    <w:p>
      <w:pPr>
        <w:pStyle w:val="4"/>
        <w:numPr>
          <w:ilvl w:val="0"/>
          <w:numId w:val="11"/>
        </w:numPr>
        <w:ind w:firstLine="562"/>
      </w:pPr>
      <w:r>
        <w:rPr>
          <w:rFonts w:hint="eastAsia"/>
        </w:rPr>
        <w:t>立项情况</w:t>
      </w:r>
    </w:p>
    <w:p>
      <w:pPr>
        <w:numPr>
          <w:ilvl w:val="0"/>
          <w:numId w:val="12"/>
        </w:numPr>
        <w:ind w:firstLine="560"/>
        <w:rPr>
          <w:rFonts w:ascii="仿宋_GB2312" w:hAnsi="仿宋_GB2312" w:cs="仿宋_GB2312"/>
        </w:rPr>
      </w:pPr>
      <w:r>
        <w:rPr>
          <w:rFonts w:hint="eastAsia" w:ascii="仿宋_GB2312" w:hAnsi="仿宋_GB2312" w:cs="仿宋_GB2312"/>
        </w:rPr>
        <w:t>立项依据充分性。指标满分2分，评价得分 2 分。承德市公安局交通警察支队按照相关文件精神申请设立项目，符合上级文件要求，立项依据充分。</w:t>
      </w:r>
    </w:p>
    <w:p>
      <w:pPr>
        <w:numPr>
          <w:ilvl w:val="0"/>
          <w:numId w:val="12"/>
        </w:numPr>
        <w:ind w:firstLine="560"/>
        <w:rPr>
          <w:rFonts w:ascii="仿宋_GB2312" w:hAnsi="仿宋_GB2312" w:cs="仿宋_GB2312"/>
        </w:rPr>
      </w:pPr>
      <w:r>
        <w:rPr>
          <w:rFonts w:hint="eastAsia" w:ascii="仿宋_GB2312" w:hAnsi="仿宋_GB2312" w:cs="仿宋_GB2312"/>
        </w:rPr>
        <w:t>立项程序规范性。指标满分 2 分，评价得分 2 分。项目实施由公安局交通警察支队提交申请，并在局党委会对可行性等进行讨论，决策通过再上报财政局申请立项，程序合规。</w:t>
      </w:r>
    </w:p>
    <w:p>
      <w:pPr>
        <w:pStyle w:val="4"/>
        <w:numPr>
          <w:ilvl w:val="0"/>
          <w:numId w:val="11"/>
        </w:numPr>
        <w:ind w:firstLine="562"/>
      </w:pPr>
      <w:r>
        <w:rPr>
          <w:rFonts w:hint="eastAsia"/>
        </w:rPr>
        <w:t>绩效目标情况</w:t>
      </w:r>
    </w:p>
    <w:p>
      <w:pPr>
        <w:numPr>
          <w:ilvl w:val="0"/>
          <w:numId w:val="13"/>
        </w:numPr>
        <w:ind w:firstLine="560"/>
        <w:rPr>
          <w:rFonts w:ascii="仿宋_GB2312" w:hAnsi="仿宋_GB2312" w:cs="仿宋_GB2312"/>
        </w:rPr>
      </w:pPr>
      <w:r>
        <w:rPr>
          <w:rFonts w:hint="eastAsia" w:ascii="仿宋_GB2312" w:hAnsi="仿宋_GB2312" w:cs="仿宋_GB2312"/>
        </w:rPr>
        <w:t>目标设置完整性。指标满分1分，评价得分0.5分。根据项目资料，承德市公安局路面科技动态防控工程项目设置了绩效目标，所设绩效目标较完整，缺少效益目标，有待改进，因此酌情扣分。</w:t>
      </w:r>
    </w:p>
    <w:p>
      <w:pPr>
        <w:numPr>
          <w:ilvl w:val="0"/>
          <w:numId w:val="13"/>
        </w:numPr>
        <w:ind w:firstLine="560"/>
        <w:rPr>
          <w:rFonts w:ascii="仿宋_GB2312" w:hAnsi="仿宋_GB2312" w:cs="仿宋_GB2312"/>
        </w:rPr>
      </w:pPr>
      <w:r>
        <w:rPr>
          <w:rFonts w:hint="eastAsia" w:ascii="仿宋_GB2312" w:hAnsi="仿宋_GB2312" w:cs="仿宋_GB2312"/>
        </w:rPr>
        <w:t>目标设置科学性。指标满分1分，评价得分0.5分。承德市公安局路面科技动态防控工程项目绩效指标值设计不合理，不能准确反映指标内容，考核有难度，因此进行了扣分。</w:t>
      </w:r>
    </w:p>
    <w:p>
      <w:pPr>
        <w:pStyle w:val="4"/>
        <w:numPr>
          <w:ilvl w:val="0"/>
          <w:numId w:val="11"/>
        </w:numPr>
        <w:ind w:firstLine="562"/>
      </w:pPr>
      <w:r>
        <w:rPr>
          <w:rFonts w:hint="eastAsia"/>
        </w:rPr>
        <w:t>资金投入</w:t>
      </w:r>
    </w:p>
    <w:p>
      <w:pPr>
        <w:numPr>
          <w:ilvl w:val="0"/>
          <w:numId w:val="14"/>
        </w:numPr>
        <w:ind w:firstLine="560"/>
        <w:rPr>
          <w:rFonts w:ascii="仿宋_GB2312" w:hAnsi="仿宋_GB2312" w:cs="仿宋_GB2312"/>
        </w:rPr>
      </w:pPr>
      <w:r>
        <w:rPr>
          <w:rFonts w:hint="eastAsia" w:ascii="仿宋_GB2312" w:hAnsi="仿宋_GB2312" w:cs="仿宋_GB2312"/>
        </w:rPr>
        <w:t>预算编制科学性。指标满分2分，评价得分2分。经项目组调研，承德市公安局路面科技动态防控工程项目预算编制均符合法律法规要求，测算依据充分，项目预算均经过科学论证过程及市场询价等手段进行了预算编制，合理合规，因此该项指标可得满分。</w:t>
      </w:r>
    </w:p>
    <w:p>
      <w:pPr>
        <w:numPr>
          <w:ilvl w:val="0"/>
          <w:numId w:val="14"/>
        </w:numPr>
        <w:ind w:firstLine="560"/>
        <w:rPr>
          <w:rFonts w:ascii="仿宋_GB2312" w:hAnsi="仿宋_GB2312" w:cs="仿宋_GB2312"/>
        </w:rPr>
      </w:pPr>
      <w:r>
        <w:rPr>
          <w:rFonts w:hint="eastAsia" w:ascii="仿宋_GB2312" w:hAnsi="仿宋_GB2312" w:cs="仿宋_GB2312"/>
        </w:rPr>
        <w:t>资金分配合理性。指标满分2分，评价得分2分。根据项目资料，承德市公安局路面科技动态防控工程项目按照设立项目的属性进行资金分配，依据充分，科学合理，因此该指标可得满分。</w:t>
      </w:r>
    </w:p>
    <w:p>
      <w:pPr>
        <w:pStyle w:val="3"/>
        <w:ind w:firstLine="562"/>
      </w:pPr>
      <w:bookmarkStart w:id="20" w:name="_Toc26378"/>
      <w:r>
        <w:rPr>
          <w:rFonts w:hint="eastAsia"/>
        </w:rPr>
        <w:t>（二）项目过程情况</w:t>
      </w:r>
      <w:bookmarkEnd w:id="20"/>
    </w:p>
    <w:p>
      <w:pPr>
        <w:ind w:firstLine="562"/>
        <w:jc w:val="center"/>
        <w:rPr>
          <w:b/>
          <w:bCs/>
        </w:rPr>
      </w:pPr>
      <w:r>
        <w:rPr>
          <w:rFonts w:hint="eastAsia"/>
          <w:b/>
          <w:bCs/>
        </w:rPr>
        <w:t>表4-2项目过程指标得分表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112"/>
        <w:gridCol w:w="2971"/>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一级指标</w:t>
            </w:r>
          </w:p>
        </w:tc>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二级指标</w:t>
            </w:r>
          </w:p>
        </w:tc>
        <w:tc>
          <w:tcPr>
            <w:tcW w:w="3002"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三级指标</w:t>
            </w:r>
          </w:p>
        </w:tc>
        <w:tc>
          <w:tcPr>
            <w:tcW w:w="1260" w:type="dxa"/>
          </w:tcPr>
          <w:p>
            <w:pPr>
              <w:ind w:firstLine="0" w:firstLineChars="0"/>
              <w:jc w:val="center"/>
              <w:rPr>
                <w:rFonts w:ascii="仿宋_GB2312" w:hAnsi="仿宋_GB2312" w:cs="仿宋_GB2312"/>
                <w:b/>
                <w:bCs/>
                <w:sz w:val="22"/>
                <w:szCs w:val="22"/>
              </w:rPr>
            </w:pPr>
            <w:r>
              <w:rPr>
                <w:rFonts w:hint="eastAsia" w:ascii="仿宋_GB2312" w:hAnsi="仿宋_GB2312" w:cs="仿宋_GB2312"/>
                <w:b/>
                <w:bCs/>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ind w:firstLine="440"/>
              <w:jc w:val="center"/>
              <w:rPr>
                <w:rFonts w:ascii="仿宋_GB2312" w:hAnsi="仿宋_GB2312" w:cs="仿宋_GB2312"/>
                <w:sz w:val="22"/>
                <w:szCs w:val="22"/>
              </w:rPr>
            </w:pPr>
            <w:r>
              <w:rPr>
                <w:rFonts w:hint="eastAsia" w:ascii="仿宋_GB2312" w:hAnsi="仿宋_GB2312" w:cs="仿宋_GB2312"/>
                <w:sz w:val="22"/>
                <w:szCs w:val="22"/>
              </w:rPr>
              <w:t>项目决策</w:t>
            </w:r>
          </w:p>
          <w:p>
            <w:pPr>
              <w:ind w:firstLine="440"/>
              <w:jc w:val="center"/>
              <w:rPr>
                <w:rFonts w:ascii="仿宋_GB2312" w:hAnsi="仿宋_GB2312" w:cs="仿宋_GB2312"/>
                <w:sz w:val="22"/>
                <w:szCs w:val="22"/>
              </w:rPr>
            </w:pPr>
            <w:r>
              <w:rPr>
                <w:rFonts w:hint="eastAsia" w:ascii="仿宋_GB2312" w:hAnsi="仿宋_GB2312" w:cs="仿宋_GB2312"/>
                <w:sz w:val="22"/>
                <w:szCs w:val="22"/>
              </w:rPr>
              <w:t>权重：30</w:t>
            </w:r>
          </w:p>
        </w:tc>
        <w:tc>
          <w:tcPr>
            <w:tcW w:w="2130" w:type="dxa"/>
            <w:vMerge w:val="restart"/>
            <w:vAlign w:val="center"/>
          </w:tcPr>
          <w:p>
            <w:pPr>
              <w:ind w:firstLine="440"/>
              <w:jc w:val="center"/>
              <w:rPr>
                <w:rFonts w:ascii="仿宋_GB2312" w:hAnsi="仿宋_GB2312" w:cs="仿宋_GB2312"/>
                <w:sz w:val="22"/>
                <w:szCs w:val="22"/>
              </w:rPr>
            </w:pPr>
            <w:r>
              <w:rPr>
                <w:rFonts w:hint="eastAsia" w:ascii="仿宋_GB2312" w:hAnsi="仿宋_GB2312" w:cs="仿宋_GB2312"/>
                <w:sz w:val="22"/>
                <w:szCs w:val="22"/>
              </w:rPr>
              <w:t>资金管理</w:t>
            </w:r>
          </w:p>
          <w:p>
            <w:pPr>
              <w:ind w:firstLine="440"/>
              <w:jc w:val="center"/>
              <w:rPr>
                <w:rFonts w:ascii="仿宋_GB2312" w:hAnsi="仿宋_GB2312" w:cs="仿宋_GB2312"/>
                <w:sz w:val="22"/>
                <w:szCs w:val="22"/>
              </w:rPr>
            </w:pPr>
            <w:r>
              <w:rPr>
                <w:rFonts w:hint="eastAsia" w:ascii="仿宋_GB2312" w:hAnsi="仿宋_GB2312" w:cs="仿宋_GB2312"/>
                <w:sz w:val="22"/>
                <w:szCs w:val="22"/>
              </w:rPr>
              <w:t>权重：12</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资金到位率</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预算执行率</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资金使用规范性</w:t>
            </w:r>
          </w:p>
          <w:p>
            <w:pPr>
              <w:ind w:firstLine="0" w:firstLineChars="0"/>
              <w:rPr>
                <w:rFonts w:ascii="仿宋_GB2312" w:hAnsi="等线" w:cs="宋体"/>
                <w:kern w:val="0"/>
                <w:sz w:val="22"/>
                <w:szCs w:val="22"/>
              </w:rPr>
            </w:pPr>
            <w:r>
              <w:rPr>
                <w:rFonts w:hint="eastAsia" w:ascii="仿宋_GB2312" w:hAnsi="等线" w:cs="宋体"/>
                <w:kern w:val="0"/>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restart"/>
            <w:vAlign w:val="center"/>
          </w:tcPr>
          <w:p>
            <w:pPr>
              <w:ind w:firstLine="440"/>
              <w:jc w:val="center"/>
              <w:rPr>
                <w:rFonts w:ascii="仿宋_GB2312" w:hAnsi="仿宋_GB2312" w:cs="仿宋_GB2312"/>
                <w:sz w:val="22"/>
                <w:szCs w:val="22"/>
              </w:rPr>
            </w:pPr>
            <w:r>
              <w:rPr>
                <w:rFonts w:hint="eastAsia" w:ascii="仿宋_GB2312" w:hAnsi="仿宋_GB2312" w:cs="仿宋_GB2312"/>
                <w:sz w:val="22"/>
                <w:szCs w:val="22"/>
              </w:rPr>
              <w:t>项目管理</w:t>
            </w:r>
          </w:p>
          <w:p>
            <w:pPr>
              <w:ind w:firstLine="440"/>
              <w:jc w:val="center"/>
              <w:rPr>
                <w:rFonts w:ascii="仿宋_GB2312" w:hAnsi="仿宋_GB2312" w:cs="仿宋_GB2312"/>
                <w:sz w:val="22"/>
                <w:szCs w:val="22"/>
              </w:rPr>
            </w:pPr>
            <w:r>
              <w:rPr>
                <w:rFonts w:hint="eastAsia" w:ascii="仿宋_GB2312" w:hAnsi="仿宋_GB2312" w:cs="仿宋_GB2312"/>
                <w:sz w:val="22"/>
                <w:szCs w:val="22"/>
              </w:rPr>
              <w:t>权重：10</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项目流程规范性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项目监管有效性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档案资料管理有效性</w:t>
            </w:r>
          </w:p>
          <w:p>
            <w:pPr>
              <w:ind w:firstLine="0" w:firstLineChars="0"/>
              <w:rPr>
                <w:rFonts w:ascii="仿宋_GB2312" w:hAnsi="等线" w:cs="宋体"/>
                <w:kern w:val="0"/>
                <w:sz w:val="22"/>
                <w:szCs w:val="22"/>
              </w:rPr>
            </w:pPr>
            <w:r>
              <w:rPr>
                <w:rFonts w:hint="eastAsia" w:ascii="仿宋_GB2312" w:hAnsi="等线" w:cs="宋体"/>
                <w:kern w:val="0"/>
                <w:sz w:val="22"/>
                <w:szCs w:val="22"/>
              </w:rPr>
              <w:t>权重：2</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restart"/>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组织管理</w:t>
            </w:r>
          </w:p>
          <w:p>
            <w:pPr>
              <w:ind w:firstLine="440"/>
              <w:jc w:val="center"/>
              <w:rPr>
                <w:rFonts w:ascii="仿宋_GB2312" w:hAnsi="仿宋_GB2312" w:cs="仿宋_GB2312"/>
                <w:sz w:val="22"/>
                <w:szCs w:val="22"/>
              </w:rPr>
            </w:pPr>
            <w:r>
              <w:rPr>
                <w:rFonts w:hint="eastAsia" w:ascii="仿宋_GB2312" w:hAnsi="仿宋_GB2312" w:cs="仿宋_GB2312"/>
                <w:sz w:val="22"/>
                <w:szCs w:val="22"/>
              </w:rPr>
              <w:t>权重：8</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管理制度健全性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ind w:firstLine="440"/>
              <w:jc w:val="center"/>
              <w:rPr>
                <w:rFonts w:ascii="仿宋_GB2312" w:hAnsi="仿宋_GB2312" w:cs="仿宋_GB2312"/>
                <w:sz w:val="22"/>
                <w:szCs w:val="22"/>
              </w:rPr>
            </w:pPr>
          </w:p>
        </w:tc>
        <w:tc>
          <w:tcPr>
            <w:tcW w:w="2130" w:type="dxa"/>
            <w:vMerge w:val="continue"/>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制度执行有效性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440"/>
              <w:jc w:val="center"/>
              <w:rPr>
                <w:rFonts w:ascii="仿宋_GB2312" w:hAnsi="仿宋_GB2312" w:cs="仿宋_GB2312"/>
                <w:sz w:val="22"/>
                <w:szCs w:val="22"/>
              </w:rPr>
            </w:pPr>
            <w:r>
              <w:rPr>
                <w:rFonts w:hint="eastAsia" w:ascii="仿宋_GB2312" w:hAnsi="仿宋_GB2312" w:cs="仿宋_GB2312"/>
                <w:sz w:val="22"/>
                <w:szCs w:val="22"/>
              </w:rPr>
              <w:t>小计</w:t>
            </w:r>
          </w:p>
        </w:tc>
        <w:tc>
          <w:tcPr>
            <w:tcW w:w="2130" w:type="dxa"/>
          </w:tcPr>
          <w:p>
            <w:pPr>
              <w:ind w:firstLine="440"/>
              <w:jc w:val="center"/>
              <w:rPr>
                <w:rFonts w:ascii="仿宋_GB2312" w:hAnsi="仿宋_GB2312" w:cs="仿宋_GB2312"/>
                <w:sz w:val="22"/>
                <w:szCs w:val="22"/>
              </w:rPr>
            </w:pPr>
          </w:p>
        </w:tc>
        <w:tc>
          <w:tcPr>
            <w:tcW w:w="3002" w:type="dxa"/>
          </w:tcPr>
          <w:p>
            <w:pPr>
              <w:ind w:firstLine="0" w:firstLineChars="0"/>
              <w:rPr>
                <w:rFonts w:ascii="仿宋_GB2312" w:hAnsi="仿宋_GB2312" w:cs="仿宋_GB2312"/>
                <w:sz w:val="22"/>
                <w:szCs w:val="22"/>
              </w:rPr>
            </w:pP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27.63</w:t>
            </w:r>
          </w:p>
        </w:tc>
      </w:tr>
    </w:tbl>
    <w:p>
      <w:pPr>
        <w:ind w:firstLine="560"/>
      </w:pPr>
    </w:p>
    <w:p>
      <w:pPr>
        <w:pStyle w:val="4"/>
        <w:numPr>
          <w:ilvl w:val="0"/>
          <w:numId w:val="15"/>
        </w:numPr>
        <w:ind w:firstLine="562"/>
      </w:pPr>
      <w:r>
        <w:rPr>
          <w:rFonts w:hint="eastAsia"/>
        </w:rPr>
        <w:t>资金管理</w:t>
      </w:r>
    </w:p>
    <w:p>
      <w:pPr>
        <w:numPr>
          <w:ilvl w:val="0"/>
          <w:numId w:val="16"/>
        </w:numPr>
        <w:ind w:firstLine="560"/>
        <w:rPr>
          <w:rFonts w:ascii="仿宋_GB2312" w:hAnsi="仿宋_GB2312" w:cs="仿宋_GB2312"/>
          <w:szCs w:val="28"/>
        </w:rPr>
      </w:pPr>
      <w:r>
        <w:rPr>
          <w:rFonts w:hint="eastAsia" w:ascii="仿宋_GB2312" w:hAnsi="仿宋_GB2312" w:cs="仿宋_GB2312"/>
        </w:rPr>
        <w:t>资金到位率。指标满分4分，评价得分4分。</w:t>
      </w:r>
      <w:r>
        <w:rPr>
          <w:rFonts w:hint="eastAsia" w:ascii="仿宋_GB2312" w:hAnsi="仿宋_GB2312" w:cs="仿宋_GB2312"/>
          <w:szCs w:val="28"/>
        </w:rPr>
        <w:t>2020年12月31日财政下达300万元，资金到位率100%，因此该项目指标可得满分。</w:t>
      </w:r>
    </w:p>
    <w:p>
      <w:pPr>
        <w:numPr>
          <w:ilvl w:val="0"/>
          <w:numId w:val="16"/>
        </w:numPr>
        <w:ind w:firstLine="560"/>
        <w:rPr>
          <w:rFonts w:ascii="仿宋_GB2312" w:hAnsi="仿宋_GB2312" w:cs="仿宋_GB2312"/>
          <w:szCs w:val="28"/>
        </w:rPr>
      </w:pPr>
      <w:r>
        <w:rPr>
          <w:rFonts w:hint="eastAsia" w:ascii="仿宋_GB2312" w:hAnsi="仿宋_GB2312" w:cs="仿宋_GB2312"/>
          <w:szCs w:val="28"/>
        </w:rPr>
        <w:t>预算执行率。指标满分4分，评价得分4分。承德市公安局路面科技动态防控工程项目资金支出率78.33%，指标等分=78.33%*4/100%=3.13分。</w:t>
      </w:r>
    </w:p>
    <w:p>
      <w:pPr>
        <w:numPr>
          <w:ilvl w:val="0"/>
          <w:numId w:val="16"/>
        </w:numPr>
        <w:ind w:firstLine="560"/>
        <w:rPr>
          <w:rFonts w:ascii="仿宋_GB2312" w:hAnsi="仿宋_GB2312" w:cs="仿宋_GB2312"/>
          <w:szCs w:val="28"/>
        </w:rPr>
      </w:pPr>
      <w:r>
        <w:rPr>
          <w:rFonts w:hint="eastAsia" w:ascii="仿宋_GB2312" w:hAnsi="仿宋_GB2312" w:cs="仿宋_GB2312"/>
          <w:szCs w:val="28"/>
        </w:rPr>
        <w:t>资金使用规范性。指标满分4分，评价得分4分。该项目资金的拨付均有完整的审批程序和手续，资金支出均符合项目的预算批复和合同规定的用途，不存在截 留、挤占、挪用、虚列支出等情况，资金管理办法相关材料齐全，因此该项指标得满分4分。</w:t>
      </w:r>
    </w:p>
    <w:p>
      <w:pPr>
        <w:pStyle w:val="4"/>
        <w:numPr>
          <w:ilvl w:val="0"/>
          <w:numId w:val="15"/>
        </w:numPr>
        <w:ind w:firstLine="562"/>
      </w:pPr>
      <w:r>
        <w:rPr>
          <w:rFonts w:hint="eastAsia"/>
        </w:rPr>
        <w:t>项目管理</w:t>
      </w:r>
    </w:p>
    <w:p>
      <w:pPr>
        <w:numPr>
          <w:ilvl w:val="0"/>
          <w:numId w:val="17"/>
        </w:numPr>
        <w:ind w:firstLine="560"/>
        <w:rPr>
          <w:rFonts w:ascii="仿宋_GB2312" w:hAnsi="仿宋_GB2312" w:cs="仿宋_GB2312"/>
          <w:szCs w:val="28"/>
        </w:rPr>
      </w:pPr>
      <w:r>
        <w:rPr>
          <w:rFonts w:hint="eastAsia" w:ascii="仿宋_GB2312" w:hAnsi="仿宋_GB2312" w:cs="仿宋_GB2312"/>
        </w:rPr>
        <w:t>项目流程规范性。指标满分4分，评价得分4分。经财政发文通知项目通过审批后，承德市公安局交通警察支队组织实施，发布招标公告，组织评标委员会，然后签订合同进行项目建设实施，项目完成后，项目负责人根据项目验收标准组织验收，验收流程规范，因此该项指标可得满分。</w:t>
      </w:r>
    </w:p>
    <w:p>
      <w:pPr>
        <w:numPr>
          <w:ilvl w:val="0"/>
          <w:numId w:val="17"/>
        </w:numPr>
        <w:ind w:firstLine="560"/>
        <w:rPr>
          <w:rFonts w:ascii="仿宋_GB2312" w:hAnsi="仿宋_GB2312" w:cs="仿宋_GB2312"/>
          <w:szCs w:val="28"/>
        </w:rPr>
      </w:pPr>
      <w:r>
        <w:rPr>
          <w:rFonts w:hint="eastAsia" w:ascii="仿宋_GB2312" w:hAnsi="仿宋_GB2312" w:cs="仿宋_GB2312"/>
          <w:szCs w:val="28"/>
        </w:rPr>
        <w:t>项目监管有效性。</w:t>
      </w:r>
      <w:r>
        <w:rPr>
          <w:rFonts w:hint="eastAsia" w:ascii="仿宋_GB2312" w:hAnsi="仿宋_GB2312" w:cs="仿宋_GB2312"/>
        </w:rPr>
        <w:t>指标满分4分，评价得分3分。根据项目组调研，</w:t>
      </w:r>
      <w:r>
        <w:rPr>
          <w:rFonts w:hint="eastAsia" w:ascii="仿宋_GB2312" w:hAnsi="仿宋_GB2312" w:cs="仿宋_GB2312"/>
          <w:szCs w:val="28"/>
        </w:rPr>
        <w:t>承德市公安局路面科技动态防控工程项目按照规定对项目建设和方案实施开展了有效的检查、监控和督促，但实际建设进度未严格按照经报审后的项目进度计划实施，监管力度效果欠佳，因此进行了扣分，指标得分3分。</w:t>
      </w:r>
    </w:p>
    <w:p>
      <w:pPr>
        <w:numPr>
          <w:ilvl w:val="0"/>
          <w:numId w:val="17"/>
        </w:numPr>
        <w:ind w:firstLine="560"/>
        <w:rPr>
          <w:rFonts w:ascii="仿宋_GB2312" w:hAnsi="仿宋_GB2312" w:cs="仿宋_GB2312"/>
        </w:rPr>
      </w:pPr>
      <w:r>
        <w:rPr>
          <w:rFonts w:hint="eastAsia" w:ascii="仿宋_GB2312" w:hAnsi="仿宋_GB2312" w:cs="仿宋_GB2312"/>
          <w:szCs w:val="28"/>
        </w:rPr>
        <w:t>档案资料管理有效性。</w:t>
      </w:r>
      <w:r>
        <w:rPr>
          <w:rFonts w:hint="eastAsia" w:ascii="仿宋_GB2312" w:hAnsi="仿宋_GB2312" w:cs="仿宋_GB2312"/>
        </w:rPr>
        <w:t>指标满分2分，评价得分1.5分。根据项目资料和现场调研，该项目有比较健全的档案管理机制，档案资料保存基本完整，管理效力较高，</w:t>
      </w:r>
      <w:r>
        <w:rPr>
          <w:rFonts w:hint="eastAsia" w:ascii="仿宋_GB2312" w:hAnsi="仿宋_GB2312" w:cs="仿宋_GB2312"/>
          <w:szCs w:val="28"/>
        </w:rPr>
        <w:t>因此进行了扣分，指标得分1.5分。</w:t>
      </w:r>
    </w:p>
    <w:p>
      <w:pPr>
        <w:pStyle w:val="4"/>
        <w:numPr>
          <w:ilvl w:val="0"/>
          <w:numId w:val="15"/>
        </w:numPr>
        <w:ind w:firstLine="562"/>
      </w:pPr>
      <w:r>
        <w:rPr>
          <w:rFonts w:hint="eastAsia"/>
        </w:rPr>
        <w:t>组织管理</w:t>
      </w:r>
    </w:p>
    <w:p>
      <w:pPr>
        <w:ind w:firstLine="560"/>
        <w:rPr>
          <w:rFonts w:ascii="仿宋_GB2312" w:hAnsi="仿宋_GB2312" w:cs="仿宋_GB2312"/>
        </w:rPr>
      </w:pPr>
      <w:r>
        <w:rPr>
          <w:rFonts w:hint="eastAsia" w:ascii="仿宋_GB2312" w:hAnsi="仿宋_GB2312" w:cs="仿宋_GB2312"/>
        </w:rPr>
        <w:t>（1）管理制度健全性。指标满分4分，评价得分4分。根据项目资料，承德市公安局交通警察支队相应的财务和业务管理制度完善，且合法合规，因此该指标可得满分4分。</w:t>
      </w:r>
    </w:p>
    <w:p>
      <w:pPr>
        <w:ind w:firstLine="560"/>
        <w:rPr>
          <w:rFonts w:ascii="仿宋_GB2312" w:hAnsi="仿宋_GB2312" w:cs="仿宋_GB2312"/>
        </w:rPr>
      </w:pPr>
      <w:r>
        <w:rPr>
          <w:rFonts w:hint="eastAsia" w:ascii="仿宋_GB2312" w:hAnsi="仿宋_GB2312" w:cs="仿宋_GB2312"/>
        </w:rPr>
        <w:t>（2）制度执行有效性。指标满分4分，评价得分4分。根据项目组调研，项目实施均符合相关管理规定，人员分工明确，责任落实到位，因此该指标可得满分4分。</w:t>
      </w:r>
    </w:p>
    <w:p>
      <w:pPr>
        <w:pStyle w:val="3"/>
        <w:ind w:firstLine="562"/>
      </w:pPr>
      <w:bookmarkStart w:id="21" w:name="_Toc15968"/>
      <w:r>
        <w:rPr>
          <w:rFonts w:hint="eastAsia"/>
        </w:rPr>
        <w:t>（三）项目产出情况</w:t>
      </w:r>
      <w:bookmarkEnd w:id="21"/>
    </w:p>
    <w:p>
      <w:pPr>
        <w:ind w:firstLine="562"/>
        <w:jc w:val="center"/>
        <w:rPr>
          <w:b/>
          <w:bCs/>
        </w:rPr>
      </w:pPr>
      <w:r>
        <w:rPr>
          <w:rFonts w:hint="eastAsia"/>
          <w:b/>
          <w:bCs/>
        </w:rPr>
        <w:t>表4-3项目过程指标得分表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300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一级指标</w:t>
            </w:r>
          </w:p>
        </w:tc>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二级指标</w:t>
            </w:r>
          </w:p>
        </w:tc>
        <w:tc>
          <w:tcPr>
            <w:tcW w:w="3002"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三级指标</w:t>
            </w:r>
          </w:p>
        </w:tc>
        <w:tc>
          <w:tcPr>
            <w:tcW w:w="1260" w:type="dxa"/>
          </w:tcPr>
          <w:p>
            <w:pPr>
              <w:ind w:firstLine="0" w:firstLineChars="0"/>
              <w:jc w:val="center"/>
              <w:rPr>
                <w:rFonts w:ascii="仿宋_GB2312" w:hAnsi="仿宋_GB2312" w:cs="仿宋_GB2312"/>
                <w:b/>
                <w:bCs/>
                <w:sz w:val="22"/>
                <w:szCs w:val="22"/>
              </w:rPr>
            </w:pPr>
            <w:r>
              <w:rPr>
                <w:rFonts w:hint="eastAsia" w:ascii="仿宋_GB2312" w:hAnsi="仿宋_GB2312" w:cs="仿宋_GB2312"/>
                <w:b/>
                <w:bCs/>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项目产出</w:t>
            </w:r>
          </w:p>
          <w:p>
            <w:pPr>
              <w:ind w:firstLine="440"/>
              <w:jc w:val="center"/>
              <w:rPr>
                <w:rFonts w:ascii="仿宋_GB2312" w:hAnsi="仿宋_GB2312" w:cs="仿宋_GB2312"/>
                <w:sz w:val="22"/>
                <w:szCs w:val="22"/>
              </w:rPr>
            </w:pPr>
            <w:r>
              <w:rPr>
                <w:rFonts w:hint="eastAsia" w:ascii="仿宋_GB2312" w:hAnsi="仿宋_GB2312" w:cs="仿宋_GB2312"/>
                <w:sz w:val="22"/>
                <w:szCs w:val="22"/>
              </w:rPr>
              <w:t>权重：30</w:t>
            </w:r>
          </w:p>
        </w:tc>
        <w:tc>
          <w:tcPr>
            <w:tcW w:w="2130" w:type="dxa"/>
            <w:vMerge w:val="restart"/>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产出数量</w:t>
            </w:r>
          </w:p>
          <w:p>
            <w:pPr>
              <w:ind w:firstLine="440"/>
              <w:jc w:val="center"/>
              <w:rPr>
                <w:rFonts w:ascii="仿宋_GB2312" w:hAnsi="仿宋_GB2312" w:cs="仿宋_GB2312"/>
                <w:sz w:val="22"/>
                <w:szCs w:val="22"/>
              </w:rPr>
            </w:pPr>
            <w:r>
              <w:rPr>
                <w:rFonts w:hint="eastAsia" w:ascii="仿宋_GB2312" w:hAnsi="仿宋_GB2312" w:cs="仿宋_GB2312"/>
                <w:sz w:val="22"/>
                <w:szCs w:val="22"/>
              </w:rPr>
              <w:t>权重：18</w:t>
            </w:r>
          </w:p>
        </w:tc>
        <w:tc>
          <w:tcPr>
            <w:tcW w:w="3002" w:type="dxa"/>
          </w:tcPr>
          <w:p>
            <w:pPr>
              <w:ind w:firstLine="0" w:firstLineChars="0"/>
              <w:rPr>
                <w:rFonts w:ascii="仿宋_GB2312" w:hAnsi="等线" w:cs="宋体"/>
                <w:kern w:val="0"/>
                <w:sz w:val="22"/>
                <w:szCs w:val="22"/>
              </w:rPr>
            </w:pPr>
            <w:r>
              <w:rPr>
                <w:rFonts w:ascii="仿宋_GB2312" w:hAnsi="等线" w:cs="宋体"/>
                <w:kern w:val="0"/>
                <w:sz w:val="22"/>
                <w:szCs w:val="22"/>
              </w:rPr>
              <w:t>设备购置完成率</w:t>
            </w:r>
          </w:p>
          <w:p>
            <w:pPr>
              <w:ind w:firstLine="0" w:firstLineChars="0"/>
              <w:rPr>
                <w:rFonts w:ascii="仿宋_GB2312" w:hAnsi="仿宋_GB2312" w:cs="仿宋_GB2312"/>
                <w:sz w:val="22"/>
                <w:szCs w:val="22"/>
              </w:rPr>
            </w:pPr>
            <w:r>
              <w:rPr>
                <w:rFonts w:hint="eastAsia" w:ascii="仿宋_GB2312" w:hAnsi="仿宋_GB2312" w:cs="仿宋_GB2312"/>
                <w:sz w:val="22"/>
                <w:szCs w:val="22"/>
              </w:rPr>
              <w:t>权重：7</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设备升级改造</w:t>
            </w:r>
          </w:p>
          <w:p>
            <w:pPr>
              <w:ind w:firstLine="0" w:firstLineChars="0"/>
              <w:rPr>
                <w:rFonts w:ascii="仿宋_GB2312" w:hAnsi="仿宋_GB2312" w:cs="仿宋_GB2312"/>
                <w:sz w:val="22"/>
                <w:szCs w:val="22"/>
              </w:rPr>
            </w:pPr>
            <w:r>
              <w:rPr>
                <w:rFonts w:hint="eastAsia" w:ascii="仿宋_GB2312" w:hAnsi="仿宋_GB2312" w:cs="仿宋_GB2312"/>
                <w:sz w:val="22"/>
                <w:szCs w:val="22"/>
              </w:rPr>
              <w:t>权重：5</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年度培训人次</w:t>
            </w:r>
          </w:p>
          <w:p>
            <w:pPr>
              <w:ind w:firstLine="0" w:firstLineChars="0"/>
              <w:rPr>
                <w:rFonts w:ascii="仿宋_GB2312" w:hAnsi="等线" w:cs="宋体"/>
                <w:kern w:val="0"/>
                <w:sz w:val="22"/>
                <w:szCs w:val="22"/>
              </w:rPr>
            </w:pPr>
            <w:r>
              <w:rPr>
                <w:rFonts w:hint="eastAsia" w:ascii="仿宋_GB2312" w:hAnsi="等线" w:cs="宋体"/>
                <w:kern w:val="0"/>
                <w:sz w:val="22"/>
                <w:szCs w:val="22"/>
              </w:rPr>
              <w:t>权重：3</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设备维护次数</w:t>
            </w:r>
          </w:p>
          <w:p>
            <w:pPr>
              <w:ind w:firstLine="0" w:firstLineChars="0"/>
              <w:rPr>
                <w:rFonts w:ascii="仿宋_GB2312" w:hAnsi="等线" w:cs="宋体"/>
                <w:kern w:val="0"/>
                <w:sz w:val="22"/>
                <w:szCs w:val="22"/>
              </w:rPr>
            </w:pPr>
            <w:r>
              <w:rPr>
                <w:rFonts w:hint="eastAsia" w:ascii="仿宋_GB2312" w:hAnsi="等线" w:cs="宋体"/>
                <w:kern w:val="0"/>
                <w:sz w:val="22"/>
                <w:szCs w:val="22"/>
              </w:rPr>
              <w:t>权重：3</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restart"/>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产出质量</w:t>
            </w:r>
          </w:p>
          <w:p>
            <w:pPr>
              <w:ind w:firstLine="440"/>
              <w:jc w:val="center"/>
              <w:rPr>
                <w:rFonts w:ascii="仿宋_GB2312" w:hAnsi="仿宋_GB2312" w:cs="仿宋_GB2312"/>
                <w:sz w:val="22"/>
                <w:szCs w:val="22"/>
              </w:rPr>
            </w:pPr>
            <w:r>
              <w:rPr>
                <w:rFonts w:hint="eastAsia" w:ascii="仿宋_GB2312" w:hAnsi="仿宋_GB2312" w:cs="仿宋_GB2312"/>
                <w:sz w:val="22"/>
                <w:szCs w:val="22"/>
              </w:rPr>
              <w:t>权重：8</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项目</w:t>
            </w:r>
            <w:r>
              <w:rPr>
                <w:rFonts w:ascii="仿宋_GB2312" w:hAnsi="等线" w:cs="宋体"/>
                <w:kern w:val="0"/>
                <w:sz w:val="22"/>
                <w:szCs w:val="22"/>
              </w:rPr>
              <w:t>建设安全合格率</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Merge w:val="continue"/>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验收合格率</w:t>
            </w:r>
          </w:p>
          <w:p>
            <w:pPr>
              <w:ind w:firstLine="0" w:firstLineChars="0"/>
              <w:rPr>
                <w:rFonts w:ascii="仿宋_GB2312" w:hAnsi="仿宋_GB2312" w:cs="仿宋_GB2312"/>
                <w:sz w:val="22"/>
                <w:szCs w:val="22"/>
              </w:rPr>
            </w:pPr>
            <w:r>
              <w:rPr>
                <w:rFonts w:hint="eastAsia" w:ascii="仿宋_GB2312" w:hAnsi="仿宋_GB2312" w:cs="仿宋_GB2312"/>
                <w:sz w:val="22"/>
                <w:szCs w:val="22"/>
              </w:rPr>
              <w:t>权重：4</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产出时效</w:t>
            </w:r>
          </w:p>
          <w:p>
            <w:pPr>
              <w:ind w:firstLine="440"/>
              <w:jc w:val="center"/>
              <w:rPr>
                <w:rFonts w:ascii="仿宋_GB2312" w:hAnsi="仿宋_GB2312" w:cs="仿宋_GB2312"/>
                <w:sz w:val="22"/>
                <w:szCs w:val="22"/>
              </w:rPr>
            </w:pPr>
            <w:r>
              <w:rPr>
                <w:rFonts w:hint="eastAsia" w:ascii="仿宋_GB2312" w:hAnsi="仿宋_GB2312" w:cs="仿宋_GB2312"/>
                <w:sz w:val="22"/>
                <w:szCs w:val="22"/>
              </w:rPr>
              <w:t>权重：2</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项目完成及时性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权重：2</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ind w:firstLine="440"/>
              <w:jc w:val="center"/>
              <w:rPr>
                <w:rFonts w:ascii="仿宋_GB2312" w:hAnsi="仿宋_GB2312" w:cs="仿宋_GB2312"/>
                <w:sz w:val="22"/>
                <w:szCs w:val="22"/>
              </w:rPr>
            </w:pPr>
          </w:p>
        </w:tc>
        <w:tc>
          <w:tcPr>
            <w:tcW w:w="2130" w:type="dxa"/>
          </w:tcPr>
          <w:p>
            <w:pPr>
              <w:ind w:firstLine="440"/>
              <w:jc w:val="center"/>
              <w:rPr>
                <w:rFonts w:ascii="仿宋_GB2312" w:hAnsi="等线" w:cs="宋体"/>
                <w:kern w:val="0"/>
                <w:sz w:val="22"/>
                <w:szCs w:val="22"/>
              </w:rPr>
            </w:pPr>
            <w:r>
              <w:rPr>
                <w:rFonts w:hint="eastAsia" w:ascii="仿宋_GB2312" w:hAnsi="等线" w:cs="宋体"/>
                <w:kern w:val="0"/>
                <w:sz w:val="22"/>
                <w:szCs w:val="22"/>
              </w:rPr>
              <w:t>产出成本</w:t>
            </w:r>
          </w:p>
          <w:p>
            <w:pPr>
              <w:ind w:firstLine="440"/>
              <w:jc w:val="center"/>
              <w:rPr>
                <w:rFonts w:ascii="仿宋_GB2312" w:hAnsi="等线" w:cs="宋体"/>
                <w:kern w:val="0"/>
                <w:sz w:val="22"/>
                <w:szCs w:val="22"/>
              </w:rPr>
            </w:pPr>
            <w:r>
              <w:rPr>
                <w:rFonts w:hint="eastAsia" w:ascii="仿宋_GB2312" w:hAnsi="等线" w:cs="宋体"/>
                <w:kern w:val="0"/>
                <w:sz w:val="22"/>
                <w:szCs w:val="22"/>
              </w:rPr>
              <w:t>权重：2</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预算成本控制率</w:t>
            </w:r>
          </w:p>
          <w:p>
            <w:pPr>
              <w:ind w:firstLine="0" w:firstLineChars="0"/>
              <w:rPr>
                <w:rFonts w:ascii="仿宋_GB2312" w:hAnsi="等线" w:cs="宋体"/>
                <w:kern w:val="0"/>
                <w:sz w:val="22"/>
                <w:szCs w:val="22"/>
              </w:rPr>
            </w:pPr>
            <w:r>
              <w:rPr>
                <w:rFonts w:hint="eastAsia" w:ascii="仿宋_GB2312" w:hAnsi="等线" w:cs="宋体"/>
                <w:kern w:val="0"/>
                <w:sz w:val="22"/>
                <w:szCs w:val="22"/>
              </w:rPr>
              <w:t>权重：2</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440"/>
              <w:jc w:val="center"/>
              <w:rPr>
                <w:rFonts w:ascii="仿宋_GB2312" w:hAnsi="仿宋_GB2312" w:cs="仿宋_GB2312"/>
                <w:sz w:val="22"/>
                <w:szCs w:val="22"/>
              </w:rPr>
            </w:pPr>
            <w:r>
              <w:rPr>
                <w:rFonts w:hint="eastAsia" w:ascii="仿宋_GB2312" w:hAnsi="仿宋_GB2312" w:cs="仿宋_GB2312"/>
                <w:sz w:val="22"/>
                <w:szCs w:val="22"/>
              </w:rPr>
              <w:t>小计</w:t>
            </w:r>
          </w:p>
        </w:tc>
        <w:tc>
          <w:tcPr>
            <w:tcW w:w="2130" w:type="dxa"/>
          </w:tcPr>
          <w:p>
            <w:pPr>
              <w:ind w:firstLine="440"/>
              <w:jc w:val="center"/>
              <w:rPr>
                <w:rFonts w:ascii="仿宋_GB2312" w:hAnsi="等线" w:cs="宋体"/>
                <w:kern w:val="0"/>
                <w:sz w:val="22"/>
                <w:szCs w:val="22"/>
              </w:rPr>
            </w:pPr>
          </w:p>
        </w:tc>
        <w:tc>
          <w:tcPr>
            <w:tcW w:w="3002" w:type="dxa"/>
          </w:tcPr>
          <w:p>
            <w:pPr>
              <w:ind w:firstLine="0" w:firstLineChars="0"/>
              <w:rPr>
                <w:rFonts w:ascii="仿宋_GB2312" w:hAnsi="等线" w:cs="宋体"/>
                <w:kern w:val="0"/>
                <w:sz w:val="22"/>
                <w:szCs w:val="22"/>
              </w:rPr>
            </w:pP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27</w:t>
            </w:r>
          </w:p>
        </w:tc>
      </w:tr>
    </w:tbl>
    <w:p>
      <w:pPr>
        <w:ind w:firstLine="560"/>
      </w:pPr>
    </w:p>
    <w:p>
      <w:pPr>
        <w:pStyle w:val="4"/>
        <w:numPr>
          <w:ilvl w:val="0"/>
          <w:numId w:val="18"/>
        </w:numPr>
        <w:ind w:firstLine="562"/>
      </w:pPr>
      <w:r>
        <w:rPr>
          <w:rFonts w:hint="eastAsia"/>
        </w:rPr>
        <w:t>产出数量</w:t>
      </w:r>
    </w:p>
    <w:p>
      <w:pPr>
        <w:numPr>
          <w:ilvl w:val="0"/>
          <w:numId w:val="19"/>
        </w:numPr>
        <w:ind w:firstLine="560"/>
        <w:rPr>
          <w:rFonts w:ascii="仿宋_GB2312" w:hAnsi="仿宋_GB2312" w:cs="仿宋_GB2312"/>
          <w:szCs w:val="28"/>
        </w:rPr>
      </w:pPr>
      <w:r>
        <w:rPr>
          <w:rFonts w:hint="eastAsia"/>
        </w:rPr>
        <w:t>设备购置完成率。</w:t>
      </w:r>
      <w:r>
        <w:rPr>
          <w:rFonts w:hint="eastAsia" w:ascii="仿宋_GB2312" w:hAnsi="仿宋_GB2312" w:cs="仿宋_GB2312"/>
        </w:rPr>
        <w:t>指标满分7分，评价得分6分。根据项目组调研和项目资料，该采购类项目均完成合同采购，其中存在设备变更名称及规格型号及参数的变更，</w:t>
      </w:r>
      <w:r>
        <w:rPr>
          <w:rFonts w:hint="eastAsia" w:ascii="仿宋_GB2312" w:hAnsi="仿宋_GB2312" w:cs="仿宋_GB2312"/>
          <w:szCs w:val="28"/>
        </w:rPr>
        <w:t>因此进行了扣分，指标得分6分。</w:t>
      </w:r>
    </w:p>
    <w:p>
      <w:pPr>
        <w:numPr>
          <w:ilvl w:val="0"/>
          <w:numId w:val="19"/>
        </w:numPr>
        <w:ind w:firstLine="560"/>
        <w:rPr>
          <w:rFonts w:ascii="仿宋_GB2312" w:hAnsi="仿宋_GB2312" w:cs="仿宋_GB2312"/>
          <w:szCs w:val="28"/>
        </w:rPr>
      </w:pPr>
      <w:r>
        <w:rPr>
          <w:rFonts w:hint="eastAsia" w:ascii="仿宋_GB2312" w:hAnsi="仿宋_GB2312" w:cs="仿宋_GB2312"/>
          <w:szCs w:val="28"/>
        </w:rPr>
        <w:t>设备升级改造。</w:t>
      </w:r>
      <w:r>
        <w:rPr>
          <w:rFonts w:hint="eastAsia" w:ascii="仿宋_GB2312" w:hAnsi="仿宋_GB2312" w:cs="仿宋_GB2312"/>
        </w:rPr>
        <w:t>指标满分5分，评价得分4分。</w:t>
      </w:r>
      <w:r>
        <w:rPr>
          <w:rFonts w:hint="eastAsia" w:ascii="仿宋_GB2312" w:hAnsi="仿宋_GB2312" w:cs="仿宋_GB2312"/>
          <w:szCs w:val="28"/>
        </w:rPr>
        <w:t>根据项目组调研，设备升级改造的建设内容已经完成建设，但在实施过程中由于前期现场勘察工作不充分，导致进度缓慢，现已完成建设，投入使用，因此进行了扣分，指标得分4分。</w:t>
      </w:r>
    </w:p>
    <w:p>
      <w:pPr>
        <w:numPr>
          <w:ilvl w:val="0"/>
          <w:numId w:val="13"/>
        </w:numPr>
        <w:ind w:firstLine="560"/>
      </w:pPr>
      <w:r>
        <w:rPr>
          <w:rFonts w:hint="eastAsia" w:ascii="仿宋_GB2312" w:hAnsi="仿宋_GB2312" w:cs="仿宋_GB2312"/>
          <w:szCs w:val="28"/>
        </w:rPr>
        <w:t>年度培训人次。</w:t>
      </w:r>
      <w:r>
        <w:rPr>
          <w:rFonts w:hint="eastAsia" w:ascii="仿宋_GB2312" w:hAnsi="仿宋_GB2312" w:cs="仿宋_GB2312"/>
        </w:rPr>
        <w:t>指标满分3分，评价得分2.5分。根据项目组调研和项目资料，完成年度培训人次，培训课件基本齐全，培训效果基本满足预期目标，</w:t>
      </w:r>
      <w:r>
        <w:rPr>
          <w:rFonts w:hint="eastAsia"/>
        </w:rPr>
        <w:t>有待改进，因此酌情扣分。</w:t>
      </w:r>
    </w:p>
    <w:p>
      <w:pPr>
        <w:numPr>
          <w:ilvl w:val="0"/>
          <w:numId w:val="19"/>
        </w:numPr>
        <w:ind w:firstLine="560"/>
      </w:pPr>
      <w:r>
        <w:rPr>
          <w:rFonts w:hint="eastAsia" w:ascii="仿宋_GB2312" w:hAnsi="仿宋_GB2312" w:cs="仿宋_GB2312"/>
          <w:szCs w:val="28"/>
        </w:rPr>
        <w:t>设备维护次数。</w:t>
      </w:r>
      <w:r>
        <w:rPr>
          <w:rFonts w:hint="eastAsia" w:ascii="仿宋_GB2312" w:hAnsi="仿宋_GB2312" w:cs="仿宋_GB2312"/>
        </w:rPr>
        <w:t>指标满分3分，评价得分3分。根据项目组调研和项目资料，现场有3名资深系统集成工程师、电子工程师和系统工程师组成驻场维护队伍，定期能够对主要设备、软件、整个系统进行维护，检查系统运行情况，及时发现问题隐患并加以解决，因此该指标可得满分4分。</w:t>
      </w:r>
    </w:p>
    <w:p>
      <w:pPr>
        <w:pStyle w:val="4"/>
        <w:numPr>
          <w:ilvl w:val="0"/>
          <w:numId w:val="18"/>
        </w:numPr>
        <w:ind w:firstLine="562"/>
      </w:pPr>
      <w:r>
        <w:rPr>
          <w:rFonts w:hint="eastAsia"/>
        </w:rPr>
        <w:t>产出质量</w:t>
      </w:r>
    </w:p>
    <w:p>
      <w:pPr>
        <w:numPr>
          <w:ilvl w:val="0"/>
          <w:numId w:val="20"/>
        </w:numPr>
        <w:ind w:firstLine="560"/>
        <w:rPr>
          <w:rFonts w:ascii="仿宋_GB2312" w:hAnsi="仿宋_GB2312" w:cs="仿宋_GB2312"/>
        </w:rPr>
      </w:pPr>
      <w:r>
        <w:rPr>
          <w:rFonts w:hint="eastAsia"/>
        </w:rPr>
        <w:t>项目建设安全合格率。</w:t>
      </w:r>
      <w:r>
        <w:rPr>
          <w:rFonts w:hint="eastAsia" w:ascii="仿宋_GB2312" w:hAnsi="仿宋_GB2312" w:cs="仿宋_GB2312"/>
        </w:rPr>
        <w:t>指标满分4分，评价得分4分。根据项目资料，项目施工单位在安排进场施工时，注明了安全施工的要求，列出了安全作业及需防范的重点、要点，并采取相应的安全措施，充分做好了“事先预防，事后评价”的安全管理工作，确保了项目实施过程中无安全事故发生，因此该指标可得满分4分。</w:t>
      </w:r>
    </w:p>
    <w:p>
      <w:pPr>
        <w:numPr>
          <w:ilvl w:val="0"/>
          <w:numId w:val="20"/>
        </w:numPr>
        <w:ind w:firstLine="560"/>
        <w:rPr>
          <w:rFonts w:ascii="仿宋_GB2312" w:hAnsi="仿宋_GB2312" w:cs="仿宋_GB2312"/>
        </w:rPr>
      </w:pPr>
      <w:r>
        <w:rPr>
          <w:rFonts w:ascii="仿宋_GB2312" w:hAnsi="仿宋_GB2312" w:cs="仿宋_GB2312"/>
        </w:rPr>
        <w:t>验收合格率</w:t>
      </w:r>
      <w:r>
        <w:rPr>
          <w:rFonts w:hint="eastAsia" w:ascii="仿宋_GB2312" w:hAnsi="仿宋_GB2312" w:cs="仿宋_GB2312"/>
        </w:rPr>
        <w:t xml:space="preserve">。指标满分4分，评价得分4分。根据项目资料， </w:t>
      </w:r>
      <w:r>
        <w:rPr>
          <w:rFonts w:hint="eastAsia" w:ascii="仿宋_GB2312" w:hAnsi="仿宋_GB2312" w:cs="仿宋_GB2312"/>
          <w:szCs w:val="28"/>
        </w:rPr>
        <w:t>承德市公安局路面科技动态防控工程项目于2019年9月24日，由承德市公安局交通警察支队组织相关专家进行验收，验收流程合理合规，对采购的设备和项目实施验收合格率达100%，</w:t>
      </w:r>
      <w:r>
        <w:rPr>
          <w:rFonts w:hint="eastAsia" w:ascii="仿宋_GB2312" w:hAnsi="仿宋_GB2312" w:cs="仿宋_GB2312"/>
        </w:rPr>
        <w:t>因此该指标可得满分4分。</w:t>
      </w:r>
    </w:p>
    <w:p>
      <w:pPr>
        <w:pStyle w:val="4"/>
        <w:numPr>
          <w:ilvl w:val="0"/>
          <w:numId w:val="18"/>
        </w:numPr>
        <w:ind w:firstLine="562"/>
      </w:pPr>
      <w:r>
        <w:rPr>
          <w:rFonts w:hint="eastAsia"/>
        </w:rPr>
        <w:t>产出时效</w:t>
      </w:r>
    </w:p>
    <w:p>
      <w:pPr>
        <w:ind w:firstLine="560"/>
        <w:rPr>
          <w:rFonts w:ascii="仿宋_GB2312" w:hAnsi="仿宋_GB2312" w:cs="仿宋_GB2312"/>
        </w:rPr>
      </w:pPr>
      <w:r>
        <w:rPr>
          <w:rFonts w:hint="eastAsia" w:ascii="仿宋_GB2312" w:hAnsi="仿宋_GB2312" w:cs="仿宋_GB2312"/>
        </w:rPr>
        <w:t>（1）项目完成及时性。指标满分2分，评价得分2分。根据项目指标体系的评分标准，该项目建设内容全部完成，项目完成及时性高，因此该指标可得满分2分。</w:t>
      </w:r>
    </w:p>
    <w:p>
      <w:pPr>
        <w:pStyle w:val="4"/>
        <w:numPr>
          <w:ilvl w:val="0"/>
          <w:numId w:val="18"/>
        </w:numPr>
        <w:ind w:firstLine="562"/>
      </w:pPr>
      <w:r>
        <w:rPr>
          <w:rFonts w:hint="eastAsia"/>
        </w:rPr>
        <w:t>产出成本</w:t>
      </w:r>
    </w:p>
    <w:p>
      <w:pPr>
        <w:ind w:firstLine="560"/>
        <w:rPr>
          <w:rFonts w:ascii="仿宋_GB2312" w:hAnsi="仿宋_GB2312" w:cs="仿宋_GB2312"/>
        </w:rPr>
      </w:pPr>
      <w:r>
        <w:rPr>
          <w:rFonts w:hint="eastAsia" w:ascii="仿宋_GB2312" w:hAnsi="仿宋_GB2312" w:cs="仿宋_GB2312"/>
        </w:rPr>
        <w:t>（1）预算成本控制率。指标满分2分，评价得分2分。根据项目组调研，项目资金使用在预算安排范围内，因此该指标可得满分2分。</w:t>
      </w:r>
    </w:p>
    <w:p>
      <w:pPr>
        <w:pStyle w:val="3"/>
        <w:ind w:firstLine="562"/>
      </w:pPr>
      <w:bookmarkStart w:id="22" w:name="_Toc26337"/>
      <w:r>
        <w:rPr>
          <w:rFonts w:hint="eastAsia"/>
        </w:rPr>
        <w:t>（四）项目效果情况</w:t>
      </w:r>
      <w:bookmarkEnd w:id="22"/>
    </w:p>
    <w:p>
      <w:pPr>
        <w:ind w:firstLine="560"/>
      </w:pPr>
    </w:p>
    <w:p>
      <w:pPr>
        <w:ind w:firstLine="562"/>
        <w:jc w:val="center"/>
        <w:rPr>
          <w:b/>
          <w:bCs/>
        </w:rPr>
      </w:pPr>
      <w:r>
        <w:rPr>
          <w:rFonts w:hint="eastAsia"/>
          <w:b/>
          <w:bCs/>
        </w:rPr>
        <w:t>表4-4项目过程指标得分表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300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一级指标</w:t>
            </w:r>
          </w:p>
        </w:tc>
        <w:tc>
          <w:tcPr>
            <w:tcW w:w="2130"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二级指标</w:t>
            </w:r>
          </w:p>
        </w:tc>
        <w:tc>
          <w:tcPr>
            <w:tcW w:w="3002" w:type="dxa"/>
          </w:tcPr>
          <w:p>
            <w:pPr>
              <w:ind w:firstLine="442"/>
              <w:rPr>
                <w:rFonts w:ascii="仿宋_GB2312" w:hAnsi="仿宋_GB2312" w:cs="仿宋_GB2312"/>
                <w:b/>
                <w:bCs/>
                <w:sz w:val="22"/>
                <w:szCs w:val="22"/>
              </w:rPr>
            </w:pPr>
            <w:r>
              <w:rPr>
                <w:rFonts w:hint="eastAsia" w:ascii="仿宋_GB2312" w:hAnsi="仿宋_GB2312" w:cs="仿宋_GB2312"/>
                <w:b/>
                <w:bCs/>
                <w:sz w:val="22"/>
                <w:szCs w:val="22"/>
              </w:rPr>
              <w:t>三级指标</w:t>
            </w:r>
          </w:p>
        </w:tc>
        <w:tc>
          <w:tcPr>
            <w:tcW w:w="1260" w:type="dxa"/>
          </w:tcPr>
          <w:p>
            <w:pPr>
              <w:ind w:firstLine="0" w:firstLineChars="0"/>
              <w:jc w:val="center"/>
              <w:rPr>
                <w:rFonts w:ascii="仿宋_GB2312" w:hAnsi="仿宋_GB2312" w:cs="仿宋_GB2312"/>
                <w:b/>
                <w:bCs/>
                <w:sz w:val="22"/>
                <w:szCs w:val="22"/>
              </w:rPr>
            </w:pPr>
            <w:r>
              <w:rPr>
                <w:rFonts w:hint="eastAsia" w:ascii="仿宋_GB2312" w:hAnsi="仿宋_GB2312" w:cs="仿宋_GB2312"/>
                <w:b/>
                <w:bCs/>
                <w:sz w:val="22"/>
                <w:szCs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项目效果</w:t>
            </w:r>
          </w:p>
          <w:p>
            <w:pPr>
              <w:ind w:firstLine="440"/>
              <w:jc w:val="center"/>
              <w:rPr>
                <w:rFonts w:ascii="仿宋_GB2312" w:hAnsi="仿宋_GB2312" w:cs="仿宋_GB2312"/>
                <w:sz w:val="22"/>
                <w:szCs w:val="22"/>
              </w:rPr>
            </w:pPr>
            <w:r>
              <w:rPr>
                <w:rFonts w:hint="eastAsia" w:ascii="仿宋_GB2312" w:hAnsi="仿宋_GB2312" w:cs="仿宋_GB2312"/>
                <w:sz w:val="22"/>
                <w:szCs w:val="22"/>
              </w:rPr>
              <w:t>权重：30</w:t>
            </w:r>
          </w:p>
        </w:tc>
        <w:tc>
          <w:tcPr>
            <w:tcW w:w="2130" w:type="dxa"/>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社会效益</w:t>
            </w:r>
          </w:p>
          <w:p>
            <w:pPr>
              <w:ind w:firstLine="440"/>
              <w:jc w:val="center"/>
              <w:rPr>
                <w:rFonts w:ascii="仿宋_GB2312" w:hAnsi="仿宋_GB2312" w:cs="仿宋_GB2312"/>
                <w:sz w:val="22"/>
                <w:szCs w:val="22"/>
              </w:rPr>
            </w:pPr>
            <w:r>
              <w:rPr>
                <w:rFonts w:hint="eastAsia" w:ascii="仿宋_GB2312" w:hAnsi="仿宋_GB2312" w:cs="仿宋_GB2312"/>
                <w:sz w:val="22"/>
                <w:szCs w:val="22"/>
              </w:rPr>
              <w:t>权重：13</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交通秩序改善程度</w:t>
            </w:r>
          </w:p>
          <w:p>
            <w:pPr>
              <w:ind w:firstLine="0" w:firstLineChars="0"/>
              <w:rPr>
                <w:rFonts w:ascii="仿宋_GB2312" w:hAnsi="仿宋_GB2312" w:cs="仿宋_GB2312"/>
                <w:sz w:val="22"/>
                <w:szCs w:val="22"/>
              </w:rPr>
            </w:pPr>
            <w:r>
              <w:rPr>
                <w:rFonts w:hint="eastAsia" w:ascii="仿宋_GB2312" w:hAnsi="仿宋_GB2312" w:cs="仿宋_GB2312"/>
                <w:sz w:val="22"/>
                <w:szCs w:val="22"/>
              </w:rPr>
              <w:t>权重：13</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可持续影响指标</w:t>
            </w:r>
          </w:p>
          <w:p>
            <w:pPr>
              <w:ind w:firstLine="440"/>
              <w:jc w:val="center"/>
              <w:rPr>
                <w:rFonts w:ascii="仿宋_GB2312" w:hAnsi="仿宋_GB2312" w:cs="仿宋_GB2312"/>
                <w:sz w:val="22"/>
                <w:szCs w:val="22"/>
              </w:rPr>
            </w:pPr>
            <w:r>
              <w:rPr>
                <w:rFonts w:hint="eastAsia" w:ascii="仿宋_GB2312" w:hAnsi="仿宋_GB2312" w:cs="仿宋_GB2312"/>
                <w:sz w:val="22"/>
                <w:szCs w:val="22"/>
              </w:rPr>
              <w:t>权重：10</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系统可持续性</w:t>
            </w:r>
          </w:p>
          <w:p>
            <w:pPr>
              <w:ind w:firstLine="0" w:firstLineChars="0"/>
              <w:rPr>
                <w:rFonts w:ascii="仿宋_GB2312" w:hAnsi="仿宋_GB2312" w:cs="仿宋_GB2312"/>
                <w:sz w:val="22"/>
                <w:szCs w:val="22"/>
              </w:rPr>
            </w:pPr>
            <w:r>
              <w:rPr>
                <w:rFonts w:hint="eastAsia" w:ascii="仿宋_GB2312" w:hAnsi="仿宋_GB2312" w:cs="仿宋_GB2312"/>
                <w:sz w:val="22"/>
                <w:szCs w:val="22"/>
              </w:rPr>
              <w:t>权重：10</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ind w:firstLine="440"/>
              <w:jc w:val="center"/>
              <w:rPr>
                <w:rFonts w:ascii="仿宋_GB2312" w:hAnsi="仿宋_GB2312" w:cs="仿宋_GB2312"/>
                <w:sz w:val="22"/>
                <w:szCs w:val="22"/>
              </w:rPr>
            </w:pPr>
          </w:p>
        </w:tc>
        <w:tc>
          <w:tcPr>
            <w:tcW w:w="2130" w:type="dxa"/>
            <w:vAlign w:val="center"/>
          </w:tcPr>
          <w:p>
            <w:pPr>
              <w:ind w:firstLine="440"/>
              <w:jc w:val="center"/>
              <w:rPr>
                <w:rFonts w:ascii="仿宋_GB2312" w:hAnsi="等线" w:cs="宋体"/>
                <w:kern w:val="0"/>
                <w:sz w:val="22"/>
                <w:szCs w:val="22"/>
              </w:rPr>
            </w:pPr>
            <w:r>
              <w:rPr>
                <w:rFonts w:hint="eastAsia" w:ascii="仿宋_GB2312" w:hAnsi="等线" w:cs="宋体"/>
                <w:kern w:val="0"/>
                <w:sz w:val="22"/>
                <w:szCs w:val="22"/>
              </w:rPr>
              <w:t>满意度指标</w:t>
            </w:r>
          </w:p>
          <w:p>
            <w:pPr>
              <w:ind w:firstLine="440"/>
              <w:jc w:val="center"/>
              <w:rPr>
                <w:rFonts w:ascii="仿宋_GB2312" w:hAnsi="仿宋_GB2312" w:cs="仿宋_GB2312"/>
                <w:sz w:val="22"/>
                <w:szCs w:val="22"/>
              </w:rPr>
            </w:pPr>
            <w:r>
              <w:rPr>
                <w:rFonts w:hint="eastAsia" w:ascii="仿宋_GB2312" w:hAnsi="仿宋_GB2312" w:cs="仿宋_GB2312"/>
                <w:sz w:val="22"/>
                <w:szCs w:val="22"/>
              </w:rPr>
              <w:t>权重：7</w:t>
            </w:r>
          </w:p>
        </w:tc>
        <w:tc>
          <w:tcPr>
            <w:tcW w:w="3002" w:type="dxa"/>
          </w:tcPr>
          <w:p>
            <w:pPr>
              <w:ind w:firstLine="0" w:firstLineChars="0"/>
              <w:rPr>
                <w:rFonts w:ascii="仿宋_GB2312" w:hAnsi="等线" w:cs="宋体"/>
                <w:kern w:val="0"/>
                <w:sz w:val="22"/>
                <w:szCs w:val="22"/>
              </w:rPr>
            </w:pPr>
            <w:r>
              <w:rPr>
                <w:rFonts w:hint="eastAsia" w:ascii="仿宋_GB2312" w:hAnsi="等线" w:cs="宋体"/>
                <w:kern w:val="0"/>
                <w:sz w:val="22"/>
                <w:szCs w:val="22"/>
              </w:rPr>
              <w:t>服务对象满意度指标</w:t>
            </w:r>
          </w:p>
          <w:p>
            <w:pPr>
              <w:ind w:firstLine="0" w:firstLineChars="0"/>
              <w:rPr>
                <w:rFonts w:ascii="仿宋_GB2312" w:hAnsi="仿宋_GB2312" w:cs="仿宋_GB2312"/>
                <w:sz w:val="22"/>
                <w:szCs w:val="22"/>
              </w:rPr>
            </w:pPr>
            <w:r>
              <w:rPr>
                <w:rFonts w:hint="eastAsia" w:ascii="仿宋_GB2312" w:hAnsi="仿宋_GB2312" w:cs="仿宋_GB2312"/>
                <w:sz w:val="22"/>
                <w:szCs w:val="22"/>
              </w:rPr>
              <w:t>权重：7</w:t>
            </w: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ind w:firstLine="440"/>
              <w:jc w:val="center"/>
              <w:rPr>
                <w:rFonts w:ascii="仿宋_GB2312" w:hAnsi="仿宋_GB2312" w:cs="仿宋_GB2312"/>
                <w:sz w:val="22"/>
                <w:szCs w:val="22"/>
              </w:rPr>
            </w:pPr>
            <w:r>
              <w:rPr>
                <w:rFonts w:hint="eastAsia" w:ascii="仿宋_GB2312" w:hAnsi="仿宋_GB2312" w:cs="仿宋_GB2312"/>
                <w:sz w:val="22"/>
                <w:szCs w:val="22"/>
              </w:rPr>
              <w:t>小计</w:t>
            </w:r>
          </w:p>
        </w:tc>
        <w:tc>
          <w:tcPr>
            <w:tcW w:w="2130" w:type="dxa"/>
            <w:vAlign w:val="center"/>
          </w:tcPr>
          <w:p>
            <w:pPr>
              <w:ind w:firstLine="440"/>
              <w:jc w:val="center"/>
              <w:rPr>
                <w:rFonts w:ascii="仿宋_GB2312" w:hAnsi="仿宋_GB2312" w:cs="仿宋_GB2312"/>
                <w:sz w:val="22"/>
                <w:szCs w:val="22"/>
              </w:rPr>
            </w:pPr>
          </w:p>
        </w:tc>
        <w:tc>
          <w:tcPr>
            <w:tcW w:w="3002" w:type="dxa"/>
          </w:tcPr>
          <w:p>
            <w:pPr>
              <w:ind w:firstLine="0" w:firstLineChars="0"/>
              <w:rPr>
                <w:rFonts w:ascii="仿宋_GB2312" w:hAnsi="仿宋_GB2312" w:cs="仿宋_GB2312"/>
                <w:sz w:val="22"/>
                <w:szCs w:val="22"/>
              </w:rPr>
            </w:pPr>
          </w:p>
        </w:tc>
        <w:tc>
          <w:tcPr>
            <w:tcW w:w="1260" w:type="dxa"/>
            <w:vAlign w:val="center"/>
          </w:tcPr>
          <w:p>
            <w:pPr>
              <w:ind w:firstLine="440"/>
              <w:jc w:val="left"/>
              <w:rPr>
                <w:rFonts w:ascii="仿宋_GB2312" w:hAnsi="仿宋_GB2312" w:cs="仿宋_GB2312"/>
                <w:sz w:val="22"/>
                <w:szCs w:val="22"/>
              </w:rPr>
            </w:pPr>
            <w:r>
              <w:rPr>
                <w:rFonts w:hint="eastAsia" w:ascii="仿宋_GB2312" w:hAnsi="仿宋_GB2312" w:cs="仿宋_GB2312"/>
                <w:sz w:val="22"/>
                <w:szCs w:val="22"/>
              </w:rPr>
              <w:t>29</w:t>
            </w:r>
          </w:p>
        </w:tc>
      </w:tr>
    </w:tbl>
    <w:p>
      <w:pPr>
        <w:ind w:firstLine="0" w:firstLineChars="0"/>
      </w:pPr>
    </w:p>
    <w:p>
      <w:pPr>
        <w:pStyle w:val="4"/>
        <w:numPr>
          <w:ilvl w:val="0"/>
          <w:numId w:val="21"/>
        </w:numPr>
        <w:ind w:firstLine="562"/>
      </w:pPr>
      <w:r>
        <w:rPr>
          <w:rFonts w:hint="eastAsia"/>
        </w:rPr>
        <w:t>社会效益</w:t>
      </w:r>
    </w:p>
    <w:p>
      <w:pPr>
        <w:ind w:firstLine="560"/>
      </w:pPr>
      <w:r>
        <w:rPr>
          <w:rFonts w:hint="eastAsia" w:ascii="仿宋_GB2312" w:hAnsi="仿宋_GB2312" w:cs="仿宋_GB2312"/>
        </w:rPr>
        <w:t>（1）交通秩序改善程度。指标满分13分，评价得分12分。根据项目组调研和项目资料，</w:t>
      </w:r>
      <w:bookmarkStart w:id="23" w:name="_Toc472864659"/>
      <w:bookmarkStart w:id="24" w:name="_Toc11749726"/>
      <w:r>
        <w:rPr>
          <w:rFonts w:hint="eastAsia"/>
        </w:rPr>
        <w:t>高清智能卡口</w:t>
      </w:r>
      <w:bookmarkEnd w:id="23"/>
      <w:r>
        <w:rPr>
          <w:rFonts w:hint="eastAsia"/>
        </w:rPr>
        <w:t>子系统建设</w:t>
      </w:r>
      <w:bookmarkEnd w:id="24"/>
      <w:r>
        <w:rPr>
          <w:rFonts w:hint="eastAsia"/>
        </w:rPr>
        <w:t>和高清电警抓拍子系统建设</w:t>
      </w:r>
      <w:r>
        <w:rPr>
          <w:rFonts w:hint="eastAsia" w:ascii="仿宋_GB2312" w:hAnsi="仿宋_GB2312" w:cs="仿宋_GB2312"/>
        </w:rPr>
        <w:t>能为治安案件的侦破提供有力的线索证据，同时为交通管理、交通规划、道路养护提供重要的基础和运行数据，在城市治安及交通管理过程中发挥了重要的作用，对解决公安警力不足、提高执法水平有着十分重要的意义，成效显著，因此该指标可得12分。</w:t>
      </w:r>
    </w:p>
    <w:p>
      <w:pPr>
        <w:pStyle w:val="4"/>
        <w:numPr>
          <w:ilvl w:val="0"/>
          <w:numId w:val="21"/>
        </w:numPr>
        <w:ind w:firstLine="562"/>
      </w:pPr>
      <w:r>
        <w:rPr>
          <w:rFonts w:hint="eastAsia"/>
        </w:rPr>
        <w:t>可持续影响指标</w:t>
      </w:r>
    </w:p>
    <w:p>
      <w:pPr>
        <w:ind w:firstLine="560"/>
      </w:pPr>
      <w:r>
        <w:rPr>
          <w:rFonts w:hint="eastAsia" w:ascii="仿宋_GB2312" w:hAnsi="仿宋_GB2312" w:cs="仿宋_GB2312"/>
        </w:rPr>
        <w:t>（1）系统可持续性。指标满分10分，评价得分10分。根据项目组调研和项目资料，承德市公安局路面科技动态防控工程项目进一步完善了承德市道路监控系统，加强了系统关联和监控信息综合应用，提升了承德市公安交通警察支队信息化水平和核心战斗力，更好的服务了指导疏导交通、防范交通事故、维护社会稳定，为创建平安城市打下了基础，因此该指标可得满分10分。</w:t>
      </w:r>
    </w:p>
    <w:p>
      <w:pPr>
        <w:pStyle w:val="4"/>
        <w:numPr>
          <w:ilvl w:val="0"/>
          <w:numId w:val="21"/>
        </w:numPr>
        <w:ind w:firstLine="562"/>
      </w:pPr>
      <w:r>
        <w:rPr>
          <w:rFonts w:hint="eastAsia"/>
        </w:rPr>
        <w:t>满意度指标</w:t>
      </w:r>
    </w:p>
    <w:p>
      <w:pPr>
        <w:widowControl/>
        <w:numPr>
          <w:ilvl w:val="0"/>
          <w:numId w:val="22"/>
        </w:numPr>
        <w:ind w:firstLine="560"/>
        <w:jc w:val="left"/>
      </w:pPr>
      <w:r>
        <w:rPr>
          <w:rFonts w:hint="eastAsia" w:ascii="仿宋_GB2312" w:hAnsi="仿宋_GB2312" w:cs="仿宋_GB2312"/>
        </w:rPr>
        <w:t>服务对象满意度指标。指标满分7分，评价得分7分。通过项目资料收集和项目组调研，</w:t>
      </w:r>
      <w:r>
        <w:rPr>
          <w:rFonts w:hint="eastAsia" w:ascii="仿宋_GB2312" w:hAnsi="仿宋_GB2312" w:cs="仿宋_GB2312"/>
          <w:color w:val="000000"/>
          <w:kern w:val="0"/>
          <w:szCs w:val="28"/>
        </w:rPr>
        <w:t>经过问卷调查收集和用户反馈，系统自建成运行以来，进一步提高了城市交通管理水平，加强了原有交通管理的基础功能，实现交通数据深度研判分析，提高了社会化服务水平，</w:t>
      </w:r>
      <w:r>
        <w:rPr>
          <w:rFonts w:hint="eastAsia" w:ascii="仿宋_GB2312" w:hAnsi="仿宋_GB2312" w:cs="仿宋_GB2312"/>
        </w:rPr>
        <w:t>受到了群众的一致好评，因此该指标可得满分7分。</w:t>
      </w:r>
    </w:p>
    <w:p>
      <w:pPr>
        <w:pStyle w:val="2"/>
        <w:ind w:firstLine="643"/>
      </w:pPr>
      <w:bookmarkStart w:id="25" w:name="_Toc5702"/>
      <w:r>
        <w:rPr>
          <w:rFonts w:hint="eastAsia"/>
        </w:rPr>
        <w:t>五、主要经验及做法、存在的问题及原因分析</w:t>
      </w:r>
      <w:bookmarkEnd w:id="25"/>
    </w:p>
    <w:p>
      <w:pPr>
        <w:pStyle w:val="3"/>
        <w:ind w:firstLine="562"/>
      </w:pPr>
      <w:bookmarkStart w:id="26" w:name="_Toc12301"/>
      <w:r>
        <w:rPr>
          <w:rFonts w:hint="eastAsia"/>
        </w:rPr>
        <w:t>（一）经验及做法</w:t>
      </w:r>
      <w:bookmarkEnd w:id="26"/>
    </w:p>
    <w:p>
      <w:pPr>
        <w:ind w:firstLine="560"/>
      </w:pPr>
      <w:r>
        <w:rPr>
          <w:rFonts w:hint="eastAsia" w:ascii="仿宋_GB2312" w:hAnsi="仿宋_GB2312" w:cs="仿宋_GB2312"/>
        </w:rPr>
        <w:t>该项目符合承德市公安局交通警察支队科技强警</w:t>
      </w:r>
      <w:r>
        <w:rPr>
          <w:rFonts w:hint="eastAsia" w:ascii="仿宋_GB2312" w:hAnsi="仿宋_GB2312" w:cs="仿宋_GB2312"/>
          <w:lang w:val="en-US" w:eastAsia="zh-CN"/>
        </w:rPr>
        <w:t>的</w:t>
      </w:r>
      <w:r>
        <w:rPr>
          <w:rFonts w:hint="eastAsia" w:ascii="仿宋_GB2312" w:hAnsi="仿宋_GB2312" w:cs="仿宋_GB2312"/>
        </w:rPr>
        <w:t>发展规划要求，意义重大，提升了交警的软硬件配置水平。</w:t>
      </w:r>
      <w:r>
        <w:rPr>
          <w:rFonts w:hint="eastAsia" w:ascii="仿宋_GB2312" w:hAnsi="仿宋_GB2312" w:cs="仿宋_GB2312"/>
          <w:kern w:val="0"/>
        </w:rPr>
        <w:t>本项目所采购设备能够接入现有公安交通集成指挥平台、数字化视频综合应用实战平台，无需接口开发，可直接对接，充分利用了现有软硬件资源，接入的稳定性可靠性高，做到了统一品牌、统一平台。</w:t>
      </w:r>
      <w:r>
        <w:rPr>
          <w:rFonts w:hint="eastAsia" w:ascii="仿宋_GB2312" w:hAnsi="仿宋_GB2312" w:cs="仿宋_GB2312"/>
        </w:rPr>
        <w:t>在项目审批、实施过程中应加强监管，有效推进项目执行进度，建议承德市公安局交通警察支队的做法，完善项目管理制度和资金管理制度，高质量推进科技强警工程项目建设，提升交警信息化水平和核心战斗力，维护社会稳定，进一步</w:t>
      </w:r>
      <w:r>
        <w:rPr>
          <w:rFonts w:hint="eastAsia" w:ascii="仿宋_GB2312" w:hAnsi="仿宋_GB2312" w:cs="仿宋_GB2312"/>
          <w:color w:val="000000"/>
          <w:kern w:val="0"/>
          <w:szCs w:val="28"/>
        </w:rPr>
        <w:t>提高城市交通管理水平。</w:t>
      </w:r>
    </w:p>
    <w:p>
      <w:pPr>
        <w:pStyle w:val="3"/>
        <w:numPr>
          <w:ilvl w:val="0"/>
          <w:numId w:val="2"/>
        </w:numPr>
        <w:ind w:firstLine="562"/>
      </w:pPr>
      <w:bookmarkStart w:id="27" w:name="_Toc17095"/>
      <w:r>
        <w:rPr>
          <w:rFonts w:hint="eastAsia"/>
        </w:rPr>
        <w:t>存在问题及原因</w:t>
      </w:r>
      <w:bookmarkEnd w:id="27"/>
    </w:p>
    <w:p>
      <w:pPr>
        <w:ind w:firstLine="560"/>
      </w:pPr>
      <w:r>
        <w:rPr>
          <w:rFonts w:hint="eastAsia"/>
        </w:rPr>
        <w:t>通过评价发现，承德市公安局路面科技动态防控工程项目实施 虽取得了一定的成效，但还存在一些问题和不足，主要表现在：</w:t>
      </w:r>
    </w:p>
    <w:p>
      <w:pPr>
        <w:pStyle w:val="4"/>
        <w:numPr>
          <w:ilvl w:val="0"/>
          <w:numId w:val="23"/>
        </w:numPr>
        <w:ind w:firstLine="562"/>
      </w:pPr>
      <w:r>
        <w:rPr>
          <w:rFonts w:hint="eastAsia"/>
        </w:rPr>
        <w:t>绩效目标设置不够科学</w:t>
      </w:r>
    </w:p>
    <w:p>
      <w:pPr>
        <w:ind w:firstLine="560"/>
      </w:pPr>
      <w:r>
        <w:rPr>
          <w:rFonts w:hint="eastAsia"/>
        </w:rPr>
        <w:t>一是绩效目标设置不够全面，不能有效反映项目产出的效果；二是绩效指标设置不够全面，指标内容不足以反映项目的特征和属性，无法全面考核项目的实际产出和效果；三是绩效指标值设计不够合理，不能准确反映项目实施内容和主要特点，关联度较小，导致项目后续的考核难度较大。</w:t>
      </w:r>
    </w:p>
    <w:p>
      <w:pPr>
        <w:pStyle w:val="4"/>
        <w:numPr>
          <w:ilvl w:val="0"/>
          <w:numId w:val="23"/>
        </w:numPr>
        <w:ind w:firstLine="562"/>
      </w:pPr>
      <w:r>
        <w:rPr>
          <w:rFonts w:hint="eastAsia"/>
        </w:rPr>
        <w:t>项目管理水平需改进</w:t>
      </w:r>
    </w:p>
    <w:p>
      <w:pPr>
        <w:ind w:firstLine="560"/>
      </w:pPr>
      <w:r>
        <w:rPr>
          <w:rFonts w:hint="eastAsia"/>
        </w:rPr>
        <w:t>项目管理情况看，有部分内容出现了项目变更的情况。项目变更多与需求不明确、技术和理念发展快速有关，下一步项目建设中需与各方通力合作，改进项目进度管理水平。</w:t>
      </w:r>
    </w:p>
    <w:p>
      <w:pPr>
        <w:pStyle w:val="2"/>
        <w:ind w:firstLine="643"/>
      </w:pPr>
      <w:bookmarkStart w:id="28" w:name="_Toc8855"/>
      <w:r>
        <w:rPr>
          <w:rFonts w:hint="eastAsia"/>
        </w:rPr>
        <w:t>六、有关建议</w:t>
      </w:r>
      <w:bookmarkEnd w:id="28"/>
    </w:p>
    <w:p>
      <w:pPr>
        <w:ind w:firstLine="560"/>
      </w:pPr>
      <w:r>
        <w:rPr>
          <w:rFonts w:hint="eastAsia"/>
        </w:rPr>
        <w:t>为进一步提高专项资金使用效益，针对存在的问题，提出如下建议：</w:t>
      </w:r>
    </w:p>
    <w:p>
      <w:pPr>
        <w:pStyle w:val="3"/>
        <w:ind w:firstLine="562"/>
      </w:pPr>
      <w:bookmarkStart w:id="29" w:name="_Toc21146"/>
      <w:r>
        <w:rPr>
          <w:rFonts w:hint="eastAsia"/>
        </w:rPr>
        <w:t>（一）强化绩效目标管理</w:t>
      </w:r>
      <w:bookmarkEnd w:id="29"/>
    </w:p>
    <w:p>
      <w:pPr>
        <w:ind w:firstLine="560"/>
      </w:pPr>
      <w:r>
        <w:rPr>
          <w:rFonts w:hint="eastAsia"/>
        </w:rPr>
        <w:t>绩效目标是资金使用管理的重要抓手之一，合理的绩效目标能全面反映项目的实施内容。一是建议交警支队重视绩效目标管理，年度目标设置包含产出、效果、对象和范围四个方面，并按照阶段性实施计划对其进行细化和量化；二是建议交警支队合理设计项目的绩效指标和目标值，做到指标内容和指标值一一对应，相互关联，尽可能量化指标值，便于后续对该项目的考察；三是各院校要避免绩效目标与指标设置的随意性，便于后期项目实施过程中将绩效目标与实际情况进行对比，体现资金使用效益。</w:t>
      </w:r>
    </w:p>
    <w:p>
      <w:pPr>
        <w:pStyle w:val="3"/>
        <w:ind w:firstLine="562"/>
      </w:pPr>
      <w:bookmarkStart w:id="30" w:name="_Toc19946"/>
      <w:r>
        <w:rPr>
          <w:rFonts w:hint="eastAsia"/>
        </w:rPr>
        <w:t>（二）管理建议</w:t>
      </w:r>
      <w:bookmarkEnd w:id="30"/>
    </w:p>
    <w:p>
      <w:pPr>
        <w:pStyle w:val="6"/>
        <w:ind w:firstLine="560"/>
        <w:jc w:val="both"/>
      </w:pPr>
      <w:r>
        <w:rPr>
          <w:rFonts w:hint="eastAsia"/>
        </w:rPr>
        <w:t>建议一是在项目规划设计阶段，做好项目建设内容规划，尽可能做到精细化需求管理，减少因规划设计不完善造成的工程变更；二是在项目建设阶段，加强对项目实施单位的控制、加强制度管理，进行周期性的项目进展情况调度，对项目能否按期完成做出预测，并根据预测的结果要求乙方做出调整，从而最大程度保证项目按期保质完成。</w:t>
      </w:r>
    </w:p>
    <w:p>
      <w:pPr>
        <w:ind w:firstLine="560"/>
      </w:pPr>
      <w:r>
        <w:rPr>
          <w:rFonts w:hint="eastAsia"/>
        </w:rPr>
        <w:br w:type="page"/>
      </w:r>
    </w:p>
    <w:p>
      <w:pPr>
        <w:ind w:firstLine="560"/>
        <w:sectPr>
          <w:footerReference r:id="rId5" w:type="default"/>
          <w:pgSz w:w="11906" w:h="16838"/>
          <w:pgMar w:top="1440" w:right="1800" w:bottom="1440" w:left="1800" w:header="851" w:footer="992" w:gutter="0"/>
          <w:pgNumType w:start="1"/>
          <w:cols w:space="425" w:num="1"/>
          <w:docGrid w:type="lines" w:linePitch="312" w:charSpace="0"/>
        </w:sectPr>
      </w:pPr>
    </w:p>
    <w:p>
      <w:pPr>
        <w:pStyle w:val="2"/>
        <w:ind w:firstLine="643"/>
        <w:rPr>
          <w:rFonts w:hint="eastAsia" w:ascii="仿宋_GB2312" w:hAnsi="仿宋_GB2312" w:cs="仿宋_GB2312"/>
          <w:lang w:val="en-US" w:eastAsia="zh-CN"/>
        </w:rPr>
      </w:pPr>
      <w:bookmarkStart w:id="31" w:name="_Toc3298"/>
      <w:r>
        <w:rPr>
          <w:rFonts w:hint="eastAsia"/>
        </w:rPr>
        <w:t>七、附件</w:t>
      </w:r>
      <w:bookmarkEnd w:id="31"/>
    </w:p>
    <w:p>
      <w:pPr>
        <w:pStyle w:val="4"/>
        <w:ind w:firstLine="562"/>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.绩效评价指标体系</w:t>
      </w:r>
    </w:p>
    <w:tbl>
      <w:tblPr>
        <w:tblStyle w:val="13"/>
        <w:tblW w:w="14677" w:type="dxa"/>
        <w:tblInd w:w="108" w:type="dxa"/>
        <w:tblLayout w:type="fixed"/>
        <w:tblCellMar>
          <w:top w:w="0" w:type="dxa"/>
          <w:left w:w="108" w:type="dxa"/>
          <w:bottom w:w="0" w:type="dxa"/>
          <w:right w:w="108" w:type="dxa"/>
        </w:tblCellMar>
      </w:tblPr>
      <w:tblGrid>
        <w:gridCol w:w="818"/>
        <w:gridCol w:w="505"/>
        <w:gridCol w:w="1157"/>
        <w:gridCol w:w="505"/>
        <w:gridCol w:w="1271"/>
        <w:gridCol w:w="508"/>
        <w:gridCol w:w="3787"/>
        <w:gridCol w:w="5003"/>
        <w:gridCol w:w="1123"/>
      </w:tblGrid>
      <w:tr>
        <w:tblPrEx>
          <w:tblCellMar>
            <w:top w:w="0" w:type="dxa"/>
            <w:left w:w="108" w:type="dxa"/>
            <w:bottom w:w="0" w:type="dxa"/>
            <w:right w:w="108" w:type="dxa"/>
          </w:tblCellMar>
        </w:tblPrEx>
        <w:trPr>
          <w:trHeight w:val="375" w:hRule="atLeast"/>
          <w:tblHeader/>
        </w:trPr>
        <w:tc>
          <w:tcPr>
            <w:tcW w:w="81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b/>
                <w:bCs/>
                <w:kern w:val="0"/>
                <w:sz w:val="24"/>
              </w:rPr>
            </w:pPr>
            <w:r>
              <w:rPr>
                <w:rFonts w:hint="eastAsia" w:ascii="仿宋_GB2312" w:hAnsi="等线" w:cs="宋体"/>
                <w:b/>
                <w:bCs/>
                <w:kern w:val="0"/>
                <w:sz w:val="24"/>
              </w:rPr>
              <w:t>一级指标</w:t>
            </w:r>
          </w:p>
        </w:tc>
        <w:tc>
          <w:tcPr>
            <w:tcW w:w="505"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权重</w:t>
            </w:r>
          </w:p>
        </w:tc>
        <w:tc>
          <w:tcPr>
            <w:tcW w:w="115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二级指标</w:t>
            </w:r>
          </w:p>
        </w:tc>
        <w:tc>
          <w:tcPr>
            <w:tcW w:w="505"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权重</w:t>
            </w:r>
          </w:p>
        </w:tc>
        <w:tc>
          <w:tcPr>
            <w:tcW w:w="127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三级指标</w:t>
            </w:r>
          </w:p>
        </w:tc>
        <w:tc>
          <w:tcPr>
            <w:tcW w:w="508"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权重</w:t>
            </w:r>
          </w:p>
        </w:tc>
        <w:tc>
          <w:tcPr>
            <w:tcW w:w="3787"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指标说明</w:t>
            </w:r>
          </w:p>
        </w:tc>
        <w:tc>
          <w:tcPr>
            <w:tcW w:w="500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评分标准</w:t>
            </w:r>
          </w:p>
        </w:tc>
        <w:tc>
          <w:tcPr>
            <w:tcW w:w="1123"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b/>
                <w:bCs/>
                <w:kern w:val="0"/>
                <w:sz w:val="24"/>
              </w:rPr>
            </w:pPr>
            <w:r>
              <w:rPr>
                <w:rFonts w:hint="eastAsia" w:ascii="仿宋_GB2312" w:hAnsi="等线" w:cs="宋体"/>
                <w:b/>
                <w:bCs/>
                <w:kern w:val="0"/>
                <w:sz w:val="24"/>
              </w:rPr>
              <w:t>评分</w:t>
            </w:r>
          </w:p>
        </w:tc>
      </w:tr>
      <w:tr>
        <w:tblPrEx>
          <w:tblCellMar>
            <w:top w:w="0" w:type="dxa"/>
            <w:left w:w="108" w:type="dxa"/>
            <w:bottom w:w="0" w:type="dxa"/>
            <w:right w:w="108" w:type="dxa"/>
          </w:tblCellMar>
        </w:tblPrEx>
        <w:trPr>
          <w:trHeight w:val="750" w:hRule="atLeast"/>
        </w:trPr>
        <w:tc>
          <w:tcPr>
            <w:tcW w:w="818"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项目决策</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10</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项目立项</w:t>
            </w:r>
          </w:p>
        </w:tc>
        <w:tc>
          <w:tcPr>
            <w:tcW w:w="505" w:type="dxa"/>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立项依据充分性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3787"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项目立项是否符合法律法规、 相关政策、发展规划以及部门职责，用以反映和考核项目立项依据情况。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 否则，每一项不符合，扣1分，扣完为止。</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r>
      <w:tr>
        <w:tblPrEx>
          <w:tblCellMar>
            <w:top w:w="0" w:type="dxa"/>
            <w:left w:w="108" w:type="dxa"/>
            <w:bottom w:w="0" w:type="dxa"/>
            <w:right w:w="108" w:type="dxa"/>
          </w:tblCellMar>
        </w:tblPrEx>
        <w:trPr>
          <w:trHeight w:val="375"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立项程序规范性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项目申请、设立过程是否符合相关要求，用以反映和考核项目立项的规范情况。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本项符合要求，得满分；否则，每一项不符合，扣1分，扣完为止。</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r>
      <w:tr>
        <w:tblPrEx>
          <w:tblCellMar>
            <w:top w:w="0" w:type="dxa"/>
            <w:left w:w="108" w:type="dxa"/>
            <w:bottom w:w="0" w:type="dxa"/>
            <w:right w:w="108" w:type="dxa"/>
          </w:tblCellMar>
        </w:tblPrEx>
        <w:trPr>
          <w:trHeight w:val="75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绩效目标</w:t>
            </w:r>
          </w:p>
        </w:tc>
        <w:tc>
          <w:tcPr>
            <w:tcW w:w="505" w:type="dxa"/>
            <w:vMerge w:val="restart"/>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目标设置完整性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w:t>
            </w:r>
          </w:p>
        </w:tc>
        <w:tc>
          <w:tcPr>
            <w:tcW w:w="3787"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反映目标设置是否包含总目标和阶段性目标，是否包括预期提供的公共产品或服务的产出数量、质量、成本指标，预期达到的效果性指标。</w:t>
            </w:r>
          </w:p>
        </w:tc>
        <w:tc>
          <w:tcPr>
            <w:tcW w:w="5003"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依据相关基础信息和证据判断目标设置的完整性，即是否包含总目标和阶段性目标，是否包括预期提供的公共产品或服务的产出数量、质量、成本指标，预期达到的效果性指标，据此核定分数。</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0.5</w:t>
            </w:r>
          </w:p>
        </w:tc>
      </w:tr>
      <w:tr>
        <w:tblPrEx>
          <w:tblCellMar>
            <w:top w:w="0" w:type="dxa"/>
            <w:left w:w="108" w:type="dxa"/>
            <w:bottom w:w="0" w:type="dxa"/>
            <w:right w:w="108" w:type="dxa"/>
          </w:tblCellMar>
        </w:tblPrEx>
        <w:trPr>
          <w:trHeight w:val="75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目标设置科学性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w:t>
            </w:r>
          </w:p>
        </w:tc>
        <w:tc>
          <w:tcPr>
            <w:tcW w:w="3787"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反映资金绩效目标设置是否明确，合理、细化、量化，绩效目标是否与资金或项目属性特点、支出内容相关，体现决策意图，同时合乎客观实际。</w:t>
            </w:r>
          </w:p>
        </w:tc>
        <w:tc>
          <w:tcPr>
            <w:tcW w:w="5003"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绩效目标是否与资金或项目属性特点、支出内容相关，体现决策意图，同时合乎客观实际，据此核定分数。</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0.5</w:t>
            </w:r>
          </w:p>
        </w:tc>
      </w:tr>
      <w:tr>
        <w:tblPrEx>
          <w:tblCellMar>
            <w:top w:w="0" w:type="dxa"/>
            <w:left w:w="108" w:type="dxa"/>
            <w:bottom w:w="0" w:type="dxa"/>
            <w:right w:w="108" w:type="dxa"/>
          </w:tblCellMar>
        </w:tblPrEx>
        <w:trPr>
          <w:trHeight w:val="75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资金投入</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4</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预算编制科学性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预算编制是否符合法律法规要求，测算依据是否充分，是否经过科学论证过程。</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 否则，每一项不符合，扣1分，扣完为止。</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r>
      <w:tr>
        <w:tblPrEx>
          <w:tblCellMar>
            <w:top w:w="0" w:type="dxa"/>
            <w:left w:w="108" w:type="dxa"/>
            <w:bottom w:w="0" w:type="dxa"/>
            <w:right w:w="108" w:type="dxa"/>
          </w:tblCellMar>
        </w:tblPrEx>
        <w:trPr>
          <w:trHeight w:val="75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271"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资金分配合理性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3787"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项目预算资金分配是否有测算依据，与补助单位或地方实际是否相适应，用以反映和考核项目预算资金分配的科学性、合理性情况。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 否则，每一项不符合，扣1分，扣完为止。</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r>
      <w:tr>
        <w:tblPrEx>
          <w:tblCellMar>
            <w:top w:w="0" w:type="dxa"/>
            <w:left w:w="108" w:type="dxa"/>
            <w:bottom w:w="0" w:type="dxa"/>
            <w:right w:w="108" w:type="dxa"/>
          </w:tblCellMar>
        </w:tblPrEx>
        <w:trPr>
          <w:trHeight w:val="375" w:hRule="atLeast"/>
        </w:trPr>
        <w:tc>
          <w:tcPr>
            <w:tcW w:w="818"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项目过程</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30</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资金管理</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12</w:t>
            </w: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资金到位率</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实际到位资金与预算资金的比率，用以反映和考核资金落实情况对项目实施的总体保障程度。</w:t>
            </w:r>
          </w:p>
        </w:tc>
        <w:tc>
          <w:tcPr>
            <w:tcW w:w="5003"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highlight w:val="yellow"/>
              </w:rPr>
            </w:pPr>
            <w:r>
              <w:rPr>
                <w:rFonts w:hint="eastAsia" w:ascii="仿宋_GB2312" w:hAnsi="等线" w:cs="宋体"/>
                <w:kern w:val="0"/>
                <w:sz w:val="22"/>
                <w:szCs w:val="22"/>
              </w:rPr>
              <w:t>本级财政资金到位率100%，且按规定时间及时 到位的，得2分；其他情况，在按满分乘以到位率计算得分的基础上，综合考虑未全额到位、未及时到位的原因等因素核定最后得分。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375"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预算执行率</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预算执行率=（实际支出资金/实际到位资金）×100%，考察项目预算资金是否按照计划执行，用以反映或考核项目预算执行情况。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预算执行率为100%，得满分，否则，按照实际资 金执行率进行量化得分。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3.13</w:t>
            </w:r>
          </w:p>
        </w:tc>
      </w:tr>
      <w:tr>
        <w:tblPrEx>
          <w:tblCellMar>
            <w:top w:w="0" w:type="dxa"/>
            <w:left w:w="108" w:type="dxa"/>
            <w:bottom w:w="0" w:type="dxa"/>
            <w:right w:w="108" w:type="dxa"/>
          </w:tblCellMar>
        </w:tblPrEx>
        <w:trPr>
          <w:trHeight w:val="75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资金使用规范性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项目资金使用是否符合相关的财务管理制度规定，用以反映和考核项目资金的规范运行情况。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符合国家财经法规和财务管理制度以及有关专项 资金管理办法的规定，得1分；资金的拨付有完 整的审批程序和手续，得1分；符合项目预算批 复或合同规定的用途，得1分；不存在截留、挤占、挪用、虚列支出等情况，得1分。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116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项目管理</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10</w:t>
            </w: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项目流程规范性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项目招投标、建设、验收等是 否严格执行相关制度规定。</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项目招投标、建设、验收等或方案实施严格执行相关制度规定的，得满分，否则酌情扣分。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116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项目监管有效性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各级业务主管部门是否按规定对项目建设或方案实施开展有效的检查、监控、督促。</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本项符合要求，得满分；否则，酌情扣分。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3</w:t>
            </w:r>
          </w:p>
        </w:tc>
      </w:tr>
      <w:tr>
        <w:tblPrEx>
          <w:tblCellMar>
            <w:top w:w="0" w:type="dxa"/>
            <w:left w:w="108" w:type="dxa"/>
            <w:bottom w:w="0" w:type="dxa"/>
            <w:right w:w="108" w:type="dxa"/>
          </w:tblCellMar>
        </w:tblPrEx>
        <w:trPr>
          <w:trHeight w:val="1078"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档案资料管理有效性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考察项目实施过程记录性材料的完整程度，是否对项目从申报到验收各阶段档案资料进行规范管理。</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全部档案资料保存完整得满分，一处不完整扣1分，两处及以上不完整不得分。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1.5</w:t>
            </w:r>
          </w:p>
        </w:tc>
      </w:tr>
      <w:tr>
        <w:tblPrEx>
          <w:tblCellMar>
            <w:top w:w="0" w:type="dxa"/>
            <w:left w:w="108" w:type="dxa"/>
            <w:bottom w:w="0" w:type="dxa"/>
            <w:right w:w="108" w:type="dxa"/>
          </w:tblCellMar>
        </w:tblPrEx>
        <w:trPr>
          <w:trHeight w:val="239"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组织管理</w:t>
            </w:r>
          </w:p>
        </w:tc>
        <w:tc>
          <w:tcPr>
            <w:tcW w:w="50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8</w:t>
            </w: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管理制度健全性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项目实施单位的财务和业务管理制度是否健全，用以反映和考核财务和业务管理制度对项目顺利实施的保障情况。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已制定或具有相应的财务和业务管理制度，得2分；财务和业务管理制 度合法、合规、完整，得2分。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239"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制度执行有效性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项目实施是否符合相关管理规定，人员分工是否明确，责任是否落实，用以反映和考核相关管理制度的有效执行情况。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本项符合要求，得满分；否则，每一项不符合，扣1分，扣完为止。</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239" w:hRule="atLeast"/>
        </w:trPr>
        <w:tc>
          <w:tcPr>
            <w:tcW w:w="818"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项目产出</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30</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产出数量</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18</w:t>
            </w:r>
          </w:p>
        </w:tc>
        <w:tc>
          <w:tcPr>
            <w:tcW w:w="1271"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ascii="仿宋_GB2312" w:hAnsi="等线" w:cs="宋体"/>
                <w:kern w:val="0"/>
                <w:sz w:val="22"/>
                <w:szCs w:val="22"/>
              </w:rPr>
              <w:t>设备购置完成率</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7</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反映项目设备采购完成情况。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完成100%得满分，否则酌情扣分。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6</w:t>
            </w:r>
          </w:p>
        </w:tc>
      </w:tr>
      <w:tr>
        <w:tblPrEx>
          <w:tblCellMar>
            <w:top w:w="0" w:type="dxa"/>
            <w:left w:w="108" w:type="dxa"/>
            <w:bottom w:w="0" w:type="dxa"/>
            <w:right w:w="108" w:type="dxa"/>
          </w:tblCellMar>
        </w:tblPrEx>
        <w:trPr>
          <w:trHeight w:val="239"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设备升级改造</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5</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反映设备升级改造完成情况。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项目建设完成率100%,升级改造质量高， 交通治理有保障，可得满分；否则按照实际情况进 行打分。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239"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年度培训人次</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3</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放映年度组织专业人员培训人次。</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有序组织培训，使专业技术人员的业务能力有效得到提升。</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2.5</w:t>
            </w:r>
          </w:p>
        </w:tc>
      </w:tr>
      <w:tr>
        <w:tblPrEx>
          <w:tblCellMar>
            <w:top w:w="0" w:type="dxa"/>
            <w:left w:w="108" w:type="dxa"/>
            <w:bottom w:w="0" w:type="dxa"/>
            <w:right w:w="108" w:type="dxa"/>
          </w:tblCellMar>
        </w:tblPrEx>
        <w:trPr>
          <w:trHeight w:val="750"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设备维护次数</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3</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视频监控设备维护次数。</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本项符合要求，得满分；否则根据实际情况酌情扣分。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2.5</w:t>
            </w:r>
          </w:p>
        </w:tc>
      </w:tr>
      <w:tr>
        <w:tblPrEx>
          <w:tblCellMar>
            <w:top w:w="0" w:type="dxa"/>
            <w:left w:w="108" w:type="dxa"/>
            <w:bottom w:w="0" w:type="dxa"/>
            <w:right w:w="108" w:type="dxa"/>
          </w:tblCellMar>
        </w:tblPrEx>
        <w:trPr>
          <w:trHeight w:val="54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产出质量</w:t>
            </w:r>
          </w:p>
        </w:tc>
        <w:tc>
          <w:tcPr>
            <w:tcW w:w="50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8</w:t>
            </w:r>
          </w:p>
        </w:tc>
        <w:tc>
          <w:tcPr>
            <w:tcW w:w="1271"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项目</w:t>
            </w:r>
            <w:r>
              <w:rPr>
                <w:rFonts w:ascii="仿宋_GB2312" w:hAnsi="等线" w:cs="宋体"/>
                <w:kern w:val="0"/>
                <w:sz w:val="22"/>
                <w:szCs w:val="22"/>
              </w:rPr>
              <w:t>建设安全合格率</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反映项目建设全过程的安全情况。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ascii="仿宋_GB2312" w:hAnsi="等线" w:cs="宋体"/>
                <w:kern w:val="0"/>
                <w:sz w:val="22"/>
                <w:szCs w:val="22"/>
              </w:rPr>
              <w:t>平台建设安全合格率</w:t>
            </w:r>
            <w:r>
              <w:rPr>
                <w:rFonts w:hint="eastAsia" w:ascii="仿宋_GB2312" w:hAnsi="等线" w:cs="宋体"/>
                <w:kern w:val="0"/>
                <w:sz w:val="22"/>
                <w:szCs w:val="22"/>
              </w:rPr>
              <w:t>100%得满分，否则酌情扣分。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547" w:hRule="atLeast"/>
        </w:trPr>
        <w:tc>
          <w:tcPr>
            <w:tcW w:w="81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验收合格率</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反映采购物资的质量情况。</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验收合格率100%得满分，否则酌情扣分。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4</w:t>
            </w:r>
          </w:p>
        </w:tc>
      </w:tr>
      <w:tr>
        <w:tblPrEx>
          <w:tblCellMar>
            <w:top w:w="0" w:type="dxa"/>
            <w:left w:w="108" w:type="dxa"/>
            <w:bottom w:w="0" w:type="dxa"/>
            <w:right w:w="108" w:type="dxa"/>
          </w:tblCellMar>
        </w:tblPrEx>
        <w:trPr>
          <w:trHeight w:val="750" w:hRule="atLeast"/>
        </w:trPr>
        <w:tc>
          <w:tcPr>
            <w:tcW w:w="818" w:type="dxa"/>
            <w:vMerge w:val="continue"/>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产出时效</w:t>
            </w:r>
          </w:p>
        </w:tc>
        <w:tc>
          <w:tcPr>
            <w:tcW w:w="505" w:type="dxa"/>
            <w:tcBorders>
              <w:top w:val="single" w:color="auto" w:sz="4" w:space="0"/>
              <w:left w:val="single" w:color="auto" w:sz="4" w:space="0"/>
              <w:bottom w:val="single" w:color="000000"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项目完成及时性</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3787"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反映项目完成情况与预期时间对比的情况。</w:t>
            </w:r>
          </w:p>
        </w:tc>
        <w:tc>
          <w:tcPr>
            <w:tcW w:w="5003"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所有部门预算安排的项目均按计划时间完成的，得3分；部分项目未按计划时间完成的，本指标得分=已完成项目数/总项目数×2。</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r>
      <w:tr>
        <w:tblPrEx>
          <w:tblCellMar>
            <w:top w:w="0" w:type="dxa"/>
            <w:left w:w="108" w:type="dxa"/>
            <w:bottom w:w="0" w:type="dxa"/>
            <w:right w:w="108" w:type="dxa"/>
          </w:tblCellMar>
        </w:tblPrEx>
        <w:trPr>
          <w:trHeight w:val="750" w:hRule="atLeast"/>
        </w:trPr>
        <w:tc>
          <w:tcPr>
            <w:tcW w:w="818"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产出成本</w:t>
            </w:r>
          </w:p>
        </w:tc>
        <w:tc>
          <w:tcPr>
            <w:tcW w:w="505"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1271"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预算成本控制率</w:t>
            </w:r>
          </w:p>
        </w:tc>
        <w:tc>
          <w:tcPr>
            <w:tcW w:w="508" w:type="dxa"/>
            <w:tcBorders>
              <w:top w:val="nil"/>
              <w:left w:val="nil"/>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c>
          <w:tcPr>
            <w:tcW w:w="3787" w:type="dxa"/>
            <w:tcBorders>
              <w:top w:val="nil"/>
              <w:left w:val="nil"/>
              <w:bottom w:val="single" w:color="auto" w:sz="4" w:space="0"/>
              <w:right w:val="single" w:color="auto" w:sz="4" w:space="0"/>
            </w:tcBorders>
            <w:vAlign w:val="center"/>
          </w:tcPr>
          <w:p>
            <w:pPr>
              <w:widowControl/>
              <w:ind w:firstLine="0" w:firstLineChars="0"/>
              <w:rPr>
                <w:rFonts w:ascii="仿宋_GB2312" w:hAnsi="等线" w:cs="宋体"/>
                <w:kern w:val="0"/>
                <w:sz w:val="22"/>
                <w:szCs w:val="22"/>
              </w:rPr>
            </w:pPr>
            <w:r>
              <w:rPr>
                <w:rFonts w:hint="eastAsia" w:ascii="仿宋_GB2312" w:hAnsi="等线" w:cs="宋体"/>
                <w:kern w:val="0"/>
                <w:sz w:val="22"/>
                <w:szCs w:val="22"/>
              </w:rPr>
              <w:t>反映在项目充分发挥资金使用效益前提下 ，事项预算（成本）控制的合理性，即反映预算执行结果是节约还是超支等具体情况及原因。</w:t>
            </w:r>
          </w:p>
        </w:tc>
        <w:tc>
          <w:tcPr>
            <w:tcW w:w="5003" w:type="dxa"/>
            <w:tcBorders>
              <w:top w:val="nil"/>
              <w:left w:val="nil"/>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支出未超预算，得满分，否则根据实际情况酌情扣分。</w:t>
            </w:r>
          </w:p>
        </w:tc>
        <w:tc>
          <w:tcPr>
            <w:tcW w:w="1123" w:type="dxa"/>
            <w:tcBorders>
              <w:top w:val="nil"/>
              <w:left w:val="nil"/>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2</w:t>
            </w:r>
          </w:p>
        </w:tc>
      </w:tr>
      <w:tr>
        <w:tblPrEx>
          <w:tblCellMar>
            <w:top w:w="0" w:type="dxa"/>
            <w:left w:w="108" w:type="dxa"/>
            <w:bottom w:w="0" w:type="dxa"/>
            <w:right w:w="108" w:type="dxa"/>
          </w:tblCellMar>
        </w:tblPrEx>
        <w:trPr>
          <w:trHeight w:val="750" w:hRule="atLeast"/>
        </w:trPr>
        <w:tc>
          <w:tcPr>
            <w:tcW w:w="818"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项目效果</w:t>
            </w:r>
          </w:p>
        </w:tc>
        <w:tc>
          <w:tcPr>
            <w:tcW w:w="505" w:type="dxa"/>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30</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社会效益</w:t>
            </w: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13</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交通秩序改善程度</w:t>
            </w:r>
          </w:p>
        </w:tc>
        <w:tc>
          <w:tcPr>
            <w:tcW w:w="50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13</w:t>
            </w:r>
          </w:p>
        </w:tc>
        <w:tc>
          <w:tcPr>
            <w:tcW w:w="378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评价工程项目对维护交通秩序稳定的影响。</w:t>
            </w:r>
          </w:p>
        </w:tc>
        <w:tc>
          <w:tcPr>
            <w:tcW w:w="50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有助于改善地方交通交通，有助于提升地方交通治理能力，以上满足一条加1分，满分3分。</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12</w:t>
            </w:r>
          </w:p>
        </w:tc>
      </w:tr>
      <w:tr>
        <w:tblPrEx>
          <w:tblCellMar>
            <w:top w:w="0" w:type="dxa"/>
            <w:left w:w="108" w:type="dxa"/>
            <w:bottom w:w="0" w:type="dxa"/>
            <w:right w:w="108" w:type="dxa"/>
          </w:tblCellMar>
        </w:tblPrEx>
        <w:trPr>
          <w:trHeight w:val="750" w:hRule="atLeast"/>
        </w:trPr>
        <w:tc>
          <w:tcPr>
            <w:tcW w:w="818" w:type="dxa"/>
            <w:vMerge w:val="continue"/>
            <w:tcBorders>
              <w:left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left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可持续影响指标</w:t>
            </w: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10</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系统可持续性</w:t>
            </w:r>
          </w:p>
        </w:tc>
        <w:tc>
          <w:tcPr>
            <w:tcW w:w="50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10</w:t>
            </w:r>
          </w:p>
        </w:tc>
        <w:tc>
          <w:tcPr>
            <w:tcW w:w="378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系统能持续运用；系统运行所依赖的技术能持续执行。</w:t>
            </w:r>
          </w:p>
        </w:tc>
        <w:tc>
          <w:tcPr>
            <w:tcW w:w="50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本项符合要求，得满分；否则，每一项不符合，扣1分，扣完为止。</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10</w:t>
            </w:r>
          </w:p>
        </w:tc>
      </w:tr>
      <w:tr>
        <w:tblPrEx>
          <w:tblCellMar>
            <w:top w:w="0" w:type="dxa"/>
            <w:left w:w="108" w:type="dxa"/>
            <w:bottom w:w="0" w:type="dxa"/>
            <w:right w:w="108" w:type="dxa"/>
          </w:tblCellMar>
        </w:tblPrEx>
        <w:trPr>
          <w:trHeight w:val="750" w:hRule="atLeast"/>
        </w:trPr>
        <w:tc>
          <w:tcPr>
            <w:tcW w:w="818"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505" w:type="dxa"/>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p>
        </w:tc>
        <w:tc>
          <w:tcPr>
            <w:tcW w:w="115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满意度指标</w:t>
            </w:r>
          </w:p>
        </w:tc>
        <w:tc>
          <w:tcPr>
            <w:tcW w:w="50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7</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服务对象满意度指标</w:t>
            </w:r>
          </w:p>
        </w:tc>
        <w:tc>
          <w:tcPr>
            <w:tcW w:w="508"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7</w:t>
            </w:r>
          </w:p>
        </w:tc>
        <w:tc>
          <w:tcPr>
            <w:tcW w:w="3787"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项目预期服务对象对项目实施的满意程度。</w:t>
            </w:r>
          </w:p>
        </w:tc>
        <w:tc>
          <w:tcPr>
            <w:tcW w:w="50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等线" w:cs="宋体"/>
                <w:kern w:val="0"/>
                <w:sz w:val="22"/>
                <w:szCs w:val="22"/>
              </w:rPr>
            </w:pPr>
            <w:r>
              <w:rPr>
                <w:rFonts w:hint="eastAsia" w:ascii="仿宋_GB2312" w:hAnsi="等线" w:cs="宋体"/>
                <w:kern w:val="0"/>
                <w:sz w:val="22"/>
                <w:szCs w:val="22"/>
              </w:rPr>
              <w:t>按收集到的项目服务对象的满意率计算得分。</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等线" w:cs="宋体"/>
                <w:kern w:val="0"/>
                <w:sz w:val="22"/>
                <w:szCs w:val="22"/>
              </w:rPr>
            </w:pPr>
            <w:r>
              <w:rPr>
                <w:rFonts w:hint="eastAsia" w:ascii="仿宋_GB2312" w:hAnsi="等线" w:cs="宋体"/>
                <w:kern w:val="0"/>
                <w:sz w:val="22"/>
                <w:szCs w:val="22"/>
              </w:rPr>
              <w:t>7</w:t>
            </w:r>
          </w:p>
        </w:tc>
      </w:tr>
      <w:tr>
        <w:tblPrEx>
          <w:tblCellMar>
            <w:top w:w="0" w:type="dxa"/>
            <w:left w:w="108" w:type="dxa"/>
            <w:bottom w:w="0" w:type="dxa"/>
            <w:right w:w="108" w:type="dxa"/>
          </w:tblCellMar>
        </w:tblPrEx>
        <w:trPr>
          <w:trHeight w:val="750" w:hRule="atLeast"/>
        </w:trPr>
        <w:tc>
          <w:tcPr>
            <w:tcW w:w="2985" w:type="dxa"/>
            <w:gridSpan w:val="4"/>
            <w:vMerge w:val="restart"/>
            <w:tcBorders>
              <w:top w:val="single" w:color="auto" w:sz="4" w:space="0"/>
              <w:left w:val="single" w:color="auto" w:sz="4" w:space="0"/>
              <w:right w:val="single" w:color="auto" w:sz="4" w:space="0"/>
            </w:tcBorders>
            <w:vAlign w:val="center"/>
          </w:tcPr>
          <w:p>
            <w:pPr>
              <w:widowControl/>
              <w:ind w:firstLine="0" w:firstLineChars="0"/>
              <w:jc w:val="center"/>
              <w:rPr>
                <w:rFonts w:ascii="仿宋_GB2312" w:hAnsi="等线" w:cs="宋体"/>
                <w:b/>
                <w:bCs/>
                <w:kern w:val="0"/>
                <w:sz w:val="22"/>
                <w:szCs w:val="22"/>
              </w:rPr>
            </w:pPr>
            <w:r>
              <w:rPr>
                <w:rFonts w:hint="eastAsia" w:ascii="仿宋_GB2312" w:hAnsi="等线" w:cs="宋体"/>
                <w:b/>
                <w:bCs/>
                <w:kern w:val="0"/>
                <w:sz w:val="22"/>
                <w:szCs w:val="22"/>
              </w:rPr>
              <w:t>评价结果</w:t>
            </w:r>
          </w:p>
        </w:tc>
        <w:tc>
          <w:tcPr>
            <w:tcW w:w="10569"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b/>
                <w:bCs/>
                <w:kern w:val="0"/>
                <w:sz w:val="22"/>
                <w:szCs w:val="22"/>
              </w:rPr>
            </w:pPr>
            <w:r>
              <w:rPr>
                <w:rFonts w:hint="eastAsia" w:ascii="仿宋_GB2312" w:hAnsi="等线" w:cs="宋体"/>
                <w:b/>
                <w:bCs/>
                <w:kern w:val="0"/>
                <w:sz w:val="22"/>
                <w:szCs w:val="22"/>
              </w:rPr>
              <w:t>累计得分</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等线" w:cs="宋体"/>
                <w:b/>
                <w:bCs/>
                <w:kern w:val="0"/>
                <w:sz w:val="22"/>
                <w:szCs w:val="22"/>
              </w:rPr>
            </w:pPr>
            <w:r>
              <w:rPr>
                <w:rFonts w:hint="eastAsia" w:ascii="仿宋_GB2312" w:hAnsi="等线" w:cs="宋体"/>
                <w:b/>
                <w:bCs/>
                <w:kern w:val="0"/>
                <w:sz w:val="22"/>
                <w:szCs w:val="22"/>
              </w:rPr>
              <w:t>92.63</w:t>
            </w:r>
          </w:p>
        </w:tc>
      </w:tr>
      <w:tr>
        <w:tblPrEx>
          <w:tblCellMar>
            <w:top w:w="0" w:type="dxa"/>
            <w:left w:w="108" w:type="dxa"/>
            <w:bottom w:w="0" w:type="dxa"/>
            <w:right w:w="108" w:type="dxa"/>
          </w:tblCellMar>
        </w:tblPrEx>
        <w:trPr>
          <w:trHeight w:val="750" w:hRule="atLeast"/>
        </w:trPr>
        <w:tc>
          <w:tcPr>
            <w:tcW w:w="2985" w:type="dxa"/>
            <w:gridSpan w:val="4"/>
            <w:vMerge w:val="continue"/>
            <w:tcBorders>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b/>
                <w:bCs/>
                <w:kern w:val="0"/>
                <w:sz w:val="22"/>
                <w:szCs w:val="22"/>
              </w:rPr>
            </w:pPr>
          </w:p>
        </w:tc>
        <w:tc>
          <w:tcPr>
            <w:tcW w:w="10569" w:type="dxa"/>
            <w:gridSpan w:val="4"/>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_GB2312" w:hAnsi="等线" w:cs="宋体"/>
                <w:b/>
                <w:bCs/>
                <w:kern w:val="0"/>
                <w:sz w:val="22"/>
                <w:szCs w:val="22"/>
              </w:rPr>
            </w:pPr>
            <w:r>
              <w:rPr>
                <w:rFonts w:hint="eastAsia" w:ascii="仿宋_GB2312" w:hAnsi="等线" w:cs="宋体"/>
                <w:b/>
                <w:bCs/>
                <w:kern w:val="0"/>
                <w:sz w:val="22"/>
                <w:szCs w:val="22"/>
              </w:rPr>
              <w:t>绩效等级</w:t>
            </w:r>
          </w:p>
        </w:tc>
        <w:tc>
          <w:tcPr>
            <w:tcW w:w="1123"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ascii="仿宋_GB2312" w:hAnsi="等线" w:cs="宋体"/>
                <w:b/>
                <w:bCs/>
                <w:kern w:val="0"/>
                <w:sz w:val="22"/>
                <w:szCs w:val="22"/>
              </w:rPr>
            </w:pPr>
            <w:r>
              <w:rPr>
                <w:rFonts w:hint="eastAsia" w:ascii="仿宋_GB2312" w:hAnsi="等线" w:cs="宋体"/>
                <w:b/>
                <w:bCs/>
                <w:kern w:val="0"/>
                <w:sz w:val="22"/>
                <w:szCs w:val="22"/>
              </w:rPr>
              <w:t>优</w:t>
            </w:r>
          </w:p>
        </w:tc>
      </w:tr>
    </w:tbl>
    <w:p>
      <w:pPr>
        <w:ind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ind w:firstLine="36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4aj184AgAAbwQAAA4AAABkcnMvZTJvRG9jLnhtbK1UzY7TMBC+I/EO lu80bRGrqmq6KlsVIVXsSgVxdh2nieQ/2W6T8gDwBpy4cOe5+hx8dpIuWjjsgUs69oy/me+bmS5u WyXJSThfG53TyWhMidDcFLU+5PTTx82rGSU+MF0wabTI6Vl4ert8+WLR2LmYmsrIQjgCEO3njc1p FYKdZ5nnlVDMj4wVGs7SOMUCju6QFY41QFcym47HN1ljXGGd4cJ73K47J+0R3XMATVnWXKwNPyqh Q4fqhGQBlHxVW0+XqdqyFDzcl6UXgcicgmlIXySBvY/fbLlg84Njtqp5XwJ7TglPOClWayS9Qq1Z YOTo6r+gVM2d8aYMI25U1hFJioDFZPxEm13FrEhcILW3V9H9/4PlH04PjtRFTqeUaKbQ8Mv3b5cf vy4/v5JplKexfo6onUVcaN+aFkMz3HtcRtZt6VT8BR8CP8Q9X8UVbSA8PppNZ7MxXBy+4QD87PG5 dT68E0aRaOTUoXtJVHba+tCFDiExmzabWsrUQalJk9Ob12/G6cHVA3CpY6xIs9DDREpd6dEK7b7t ee5NcQZNZ7o58ZZvapSyZT48MIfBQPlYnXCPTykNUpreoqQy7su/7mM8+gUvJQ0GLacae0WJfK/R RwCGwXCDsR8MfVR3BpM7wUpankw8cEEOZumM+ox9WsUccDHNkSmnYTDvQjfs2EcuVqsUdLSuPlTd A0yhZWGrd5bHNFEqb1fHAGmT4lGgThV0Kh4wh6ln/c7EQf/znKIe/yeWvwF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ChBAAAW0NvbnRlbnRfVHlw ZXNdLnhtbFBLAQIUAAoAAAAAAIdO4kAAAAAAAAAAAAAAAAAGAAAAAAAAAAAAEAAAAIMDAABfcmVs cy9QSwECFAAUAAAACACHTuJAihRmPNEAAACUAQAACwAAAAAAAAABACAAAACnAwAAX3JlbHMvLnJl bHNQSwECFAAKAAAAAACHTuJAAAAAAAAAAAAAAAAABAAAAAAAAAAAABAAAAAAAAAAZHJzL1BLAQIU ABQAAAAIAIdO4kCzSVju0AAAAAUBAAAPAAAAAAAAAAEAIAAAACIAAABkcnMvZG93bnJldi54bWxQ SwECFAAUAAAACACHTuJAXhqPXzgCAABvBAAADgAAAAAAAAABACAAAAAfAQAAZHJzL2Uyb0RvYy54 bWxQSwUGAAAAAAYABgBZAQAAyQUAAAAA ">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FBAC9"/>
    <w:multiLevelType w:val="singleLevel"/>
    <w:tmpl w:val="8BEFBAC9"/>
    <w:lvl w:ilvl="0" w:tentative="0">
      <w:start w:val="1"/>
      <w:numFmt w:val="chineseCounting"/>
      <w:suff w:val="nothing"/>
      <w:lvlText w:val="%1、"/>
      <w:lvlJc w:val="left"/>
      <w:rPr>
        <w:rFonts w:hint="eastAsia"/>
      </w:rPr>
    </w:lvl>
  </w:abstractNum>
  <w:abstractNum w:abstractNumId="1">
    <w:nsid w:val="8F2C30E1"/>
    <w:multiLevelType w:val="singleLevel"/>
    <w:tmpl w:val="8F2C30E1"/>
    <w:lvl w:ilvl="0" w:tentative="0">
      <w:start w:val="2"/>
      <w:numFmt w:val="decimal"/>
      <w:lvlText w:val="%1."/>
      <w:lvlJc w:val="left"/>
      <w:pPr>
        <w:tabs>
          <w:tab w:val="left" w:pos="312"/>
        </w:tabs>
        <w:ind w:left="-2"/>
      </w:pPr>
    </w:lvl>
  </w:abstractNum>
  <w:abstractNum w:abstractNumId="2">
    <w:nsid w:val="9A4F5B2F"/>
    <w:multiLevelType w:val="singleLevel"/>
    <w:tmpl w:val="9A4F5B2F"/>
    <w:lvl w:ilvl="0" w:tentative="0">
      <w:start w:val="1"/>
      <w:numFmt w:val="decimal"/>
      <w:suff w:val="nothing"/>
      <w:lvlText w:val="（%1）"/>
      <w:lvlJc w:val="left"/>
    </w:lvl>
  </w:abstractNum>
  <w:abstractNum w:abstractNumId="3">
    <w:nsid w:val="9AD7F31A"/>
    <w:multiLevelType w:val="singleLevel"/>
    <w:tmpl w:val="9AD7F31A"/>
    <w:lvl w:ilvl="0" w:tentative="0">
      <w:start w:val="1"/>
      <w:numFmt w:val="decimal"/>
      <w:lvlText w:val="%1."/>
      <w:lvlJc w:val="left"/>
      <w:pPr>
        <w:tabs>
          <w:tab w:val="left" w:pos="312"/>
        </w:tabs>
      </w:pPr>
    </w:lvl>
  </w:abstractNum>
  <w:abstractNum w:abstractNumId="4">
    <w:nsid w:val="9CC95DA9"/>
    <w:multiLevelType w:val="singleLevel"/>
    <w:tmpl w:val="9CC95DA9"/>
    <w:lvl w:ilvl="0" w:tentative="0">
      <w:start w:val="1"/>
      <w:numFmt w:val="decimal"/>
      <w:lvlText w:val="%1."/>
      <w:lvlJc w:val="left"/>
      <w:pPr>
        <w:tabs>
          <w:tab w:val="left" w:pos="312"/>
        </w:tabs>
      </w:pPr>
    </w:lvl>
  </w:abstractNum>
  <w:abstractNum w:abstractNumId="5">
    <w:nsid w:val="A219758E"/>
    <w:multiLevelType w:val="singleLevel"/>
    <w:tmpl w:val="A219758E"/>
    <w:lvl w:ilvl="0" w:tentative="0">
      <w:start w:val="1"/>
      <w:numFmt w:val="decimal"/>
      <w:lvlText w:val="%1."/>
      <w:lvlJc w:val="left"/>
      <w:pPr>
        <w:tabs>
          <w:tab w:val="left" w:pos="312"/>
        </w:tabs>
      </w:pPr>
    </w:lvl>
  </w:abstractNum>
  <w:abstractNum w:abstractNumId="6">
    <w:nsid w:val="AD55E773"/>
    <w:multiLevelType w:val="singleLevel"/>
    <w:tmpl w:val="AD55E773"/>
    <w:lvl w:ilvl="0" w:tentative="0">
      <w:start w:val="1"/>
      <w:numFmt w:val="decimal"/>
      <w:suff w:val="nothing"/>
      <w:lvlText w:val="（%1）"/>
      <w:lvlJc w:val="left"/>
    </w:lvl>
  </w:abstractNum>
  <w:abstractNum w:abstractNumId="7">
    <w:nsid w:val="B8E8B583"/>
    <w:multiLevelType w:val="singleLevel"/>
    <w:tmpl w:val="B8E8B583"/>
    <w:lvl w:ilvl="0" w:tentative="0">
      <w:start w:val="1"/>
      <w:numFmt w:val="decimal"/>
      <w:suff w:val="nothing"/>
      <w:lvlText w:val="（%1）"/>
      <w:lvlJc w:val="left"/>
    </w:lvl>
  </w:abstractNum>
  <w:abstractNum w:abstractNumId="8">
    <w:nsid w:val="BA0A5909"/>
    <w:multiLevelType w:val="singleLevel"/>
    <w:tmpl w:val="BA0A5909"/>
    <w:lvl w:ilvl="0" w:tentative="0">
      <w:start w:val="1"/>
      <w:numFmt w:val="decimal"/>
      <w:suff w:val="nothing"/>
      <w:lvlText w:val="（%1）"/>
      <w:lvlJc w:val="left"/>
    </w:lvl>
  </w:abstractNum>
  <w:abstractNum w:abstractNumId="9">
    <w:nsid w:val="CDF0FD25"/>
    <w:multiLevelType w:val="singleLevel"/>
    <w:tmpl w:val="CDF0FD25"/>
    <w:lvl w:ilvl="0" w:tentative="0">
      <w:start w:val="2"/>
      <w:numFmt w:val="decimal"/>
      <w:lvlText w:val="%1."/>
      <w:lvlJc w:val="left"/>
      <w:pPr>
        <w:tabs>
          <w:tab w:val="left" w:pos="312"/>
        </w:tabs>
      </w:pPr>
    </w:lvl>
  </w:abstractNum>
  <w:abstractNum w:abstractNumId="10">
    <w:nsid w:val="D16F7FD8"/>
    <w:multiLevelType w:val="singleLevel"/>
    <w:tmpl w:val="D16F7FD8"/>
    <w:lvl w:ilvl="0" w:tentative="0">
      <w:start w:val="1"/>
      <w:numFmt w:val="decimal"/>
      <w:suff w:val="nothing"/>
      <w:lvlText w:val="（%1）"/>
      <w:lvlJc w:val="left"/>
    </w:lvl>
  </w:abstractNum>
  <w:abstractNum w:abstractNumId="11">
    <w:nsid w:val="D5336579"/>
    <w:multiLevelType w:val="singleLevel"/>
    <w:tmpl w:val="D5336579"/>
    <w:lvl w:ilvl="0" w:tentative="0">
      <w:start w:val="2"/>
      <w:numFmt w:val="decimal"/>
      <w:suff w:val="nothing"/>
      <w:lvlText w:val="（%1）"/>
      <w:lvlJc w:val="left"/>
    </w:lvl>
  </w:abstractNum>
  <w:abstractNum w:abstractNumId="12">
    <w:nsid w:val="E2199F4F"/>
    <w:multiLevelType w:val="singleLevel"/>
    <w:tmpl w:val="E2199F4F"/>
    <w:lvl w:ilvl="0" w:tentative="0">
      <w:start w:val="1"/>
      <w:numFmt w:val="decimal"/>
      <w:lvlText w:val="%1."/>
      <w:lvlJc w:val="left"/>
      <w:pPr>
        <w:tabs>
          <w:tab w:val="left" w:pos="312"/>
        </w:tabs>
      </w:pPr>
    </w:lvl>
  </w:abstractNum>
  <w:abstractNum w:abstractNumId="13">
    <w:nsid w:val="F13A99C7"/>
    <w:multiLevelType w:val="singleLevel"/>
    <w:tmpl w:val="F13A99C7"/>
    <w:lvl w:ilvl="0" w:tentative="0">
      <w:start w:val="1"/>
      <w:numFmt w:val="decimal"/>
      <w:suff w:val="nothing"/>
      <w:lvlText w:val="（%1）"/>
      <w:lvlJc w:val="left"/>
    </w:lvl>
  </w:abstractNum>
  <w:abstractNum w:abstractNumId="14">
    <w:nsid w:val="F1EA4344"/>
    <w:multiLevelType w:val="singleLevel"/>
    <w:tmpl w:val="F1EA4344"/>
    <w:lvl w:ilvl="0" w:tentative="0">
      <w:start w:val="4"/>
      <w:numFmt w:val="chineseCounting"/>
      <w:suff w:val="nothing"/>
      <w:lvlText w:val="%1、"/>
      <w:lvlJc w:val="left"/>
      <w:rPr>
        <w:rFonts w:hint="eastAsia"/>
      </w:rPr>
    </w:lvl>
  </w:abstractNum>
  <w:abstractNum w:abstractNumId="15">
    <w:nsid w:val="06084238"/>
    <w:multiLevelType w:val="singleLevel"/>
    <w:tmpl w:val="06084238"/>
    <w:lvl w:ilvl="0" w:tentative="0">
      <w:start w:val="1"/>
      <w:numFmt w:val="decimal"/>
      <w:lvlText w:val="%1."/>
      <w:lvlJc w:val="left"/>
      <w:pPr>
        <w:tabs>
          <w:tab w:val="left" w:pos="312"/>
        </w:tabs>
      </w:pPr>
    </w:lvl>
  </w:abstractNum>
  <w:abstractNum w:abstractNumId="16">
    <w:nsid w:val="0D34F01A"/>
    <w:multiLevelType w:val="singleLevel"/>
    <w:tmpl w:val="0D34F01A"/>
    <w:lvl w:ilvl="0" w:tentative="0">
      <w:start w:val="1"/>
      <w:numFmt w:val="chineseCounting"/>
      <w:suff w:val="nothing"/>
      <w:lvlText w:val="（%1）"/>
      <w:lvlJc w:val="left"/>
      <w:rPr>
        <w:rFonts w:hint="eastAsia"/>
      </w:rPr>
    </w:lvl>
  </w:abstractNum>
  <w:abstractNum w:abstractNumId="17">
    <w:nsid w:val="0E1BE6D5"/>
    <w:multiLevelType w:val="singleLevel"/>
    <w:tmpl w:val="0E1BE6D5"/>
    <w:lvl w:ilvl="0" w:tentative="0">
      <w:start w:val="2"/>
      <w:numFmt w:val="decimal"/>
      <w:lvlText w:val="%1."/>
      <w:lvlJc w:val="left"/>
      <w:pPr>
        <w:tabs>
          <w:tab w:val="left" w:pos="879"/>
        </w:tabs>
      </w:pPr>
    </w:lvl>
  </w:abstractNum>
  <w:abstractNum w:abstractNumId="18">
    <w:nsid w:val="237878FE"/>
    <w:multiLevelType w:val="singleLevel"/>
    <w:tmpl w:val="237878FE"/>
    <w:lvl w:ilvl="0" w:tentative="0">
      <w:start w:val="1"/>
      <w:numFmt w:val="decimal"/>
      <w:suff w:val="nothing"/>
      <w:lvlText w:val="（%1）"/>
      <w:lvlJc w:val="left"/>
    </w:lvl>
  </w:abstractNum>
  <w:abstractNum w:abstractNumId="19">
    <w:nsid w:val="23B3E476"/>
    <w:multiLevelType w:val="singleLevel"/>
    <w:tmpl w:val="23B3E476"/>
    <w:lvl w:ilvl="0" w:tentative="0">
      <w:start w:val="1"/>
      <w:numFmt w:val="decimal"/>
      <w:lvlText w:val="%1."/>
      <w:lvlJc w:val="left"/>
      <w:pPr>
        <w:tabs>
          <w:tab w:val="left" w:pos="312"/>
        </w:tabs>
      </w:pPr>
    </w:lvl>
  </w:abstractNum>
  <w:abstractNum w:abstractNumId="20">
    <w:nsid w:val="33DF5DA4"/>
    <w:multiLevelType w:val="singleLevel"/>
    <w:tmpl w:val="33DF5DA4"/>
    <w:lvl w:ilvl="0" w:tentative="0">
      <w:start w:val="1"/>
      <w:numFmt w:val="decimal"/>
      <w:suff w:val="nothing"/>
      <w:lvlText w:val="（%1）"/>
      <w:lvlJc w:val="left"/>
    </w:lvl>
  </w:abstractNum>
  <w:abstractNum w:abstractNumId="21">
    <w:nsid w:val="3F3B2F14"/>
    <w:multiLevelType w:val="singleLevel"/>
    <w:tmpl w:val="3F3B2F14"/>
    <w:lvl w:ilvl="0" w:tentative="0">
      <w:start w:val="1"/>
      <w:numFmt w:val="decimal"/>
      <w:lvlText w:val="%1."/>
      <w:lvlJc w:val="left"/>
      <w:pPr>
        <w:tabs>
          <w:tab w:val="left" w:pos="312"/>
        </w:tabs>
      </w:pPr>
    </w:lvl>
  </w:abstractNum>
  <w:abstractNum w:abstractNumId="22">
    <w:nsid w:val="4A1B06BD"/>
    <w:multiLevelType w:val="singleLevel"/>
    <w:tmpl w:val="4A1B06BD"/>
    <w:lvl w:ilvl="0" w:tentative="0">
      <w:start w:val="5"/>
      <w:numFmt w:val="chineseCounting"/>
      <w:suff w:val="nothing"/>
      <w:lvlText w:val="（%1）"/>
      <w:lvlJc w:val="left"/>
      <w:rPr>
        <w:rFonts w:hint="eastAsia"/>
      </w:rPr>
    </w:lvl>
  </w:abstractNum>
  <w:num w:numId="1">
    <w:abstractNumId w:val="0"/>
  </w:num>
  <w:num w:numId="2">
    <w:abstractNumId w:val="16"/>
  </w:num>
  <w:num w:numId="3">
    <w:abstractNumId w:val="19"/>
  </w:num>
  <w:num w:numId="4">
    <w:abstractNumId w:val="17"/>
  </w:num>
  <w:num w:numId="5">
    <w:abstractNumId w:val="11"/>
  </w:num>
  <w:num w:numId="6">
    <w:abstractNumId w:val="22"/>
  </w:num>
  <w:num w:numId="7">
    <w:abstractNumId w:val="15"/>
  </w:num>
  <w:num w:numId="8">
    <w:abstractNumId w:val="9"/>
  </w:num>
  <w:num w:numId="9">
    <w:abstractNumId w:val="1"/>
  </w:num>
  <w:num w:numId="10">
    <w:abstractNumId w:val="14"/>
  </w:num>
  <w:num w:numId="11">
    <w:abstractNumId w:val="5"/>
  </w:num>
  <w:num w:numId="12">
    <w:abstractNumId w:val="8"/>
  </w:num>
  <w:num w:numId="13">
    <w:abstractNumId w:val="6"/>
  </w:num>
  <w:num w:numId="14">
    <w:abstractNumId w:val="10"/>
  </w:num>
  <w:num w:numId="15">
    <w:abstractNumId w:val="4"/>
  </w:num>
  <w:num w:numId="16">
    <w:abstractNumId w:val="7"/>
  </w:num>
  <w:num w:numId="17">
    <w:abstractNumId w:val="20"/>
  </w:num>
  <w:num w:numId="18">
    <w:abstractNumId w:val="21"/>
  </w:num>
  <w:num w:numId="19">
    <w:abstractNumId w:val="2"/>
  </w:num>
  <w:num w:numId="20">
    <w:abstractNumId w:val="13"/>
  </w:num>
  <w:num w:numId="21">
    <w:abstractNumId w:val="1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26117"/>
    <w:rsid w:val="000A00DD"/>
    <w:rsid w:val="00727ACF"/>
    <w:rsid w:val="00F3554A"/>
    <w:rsid w:val="00FB08DE"/>
    <w:rsid w:val="011163B0"/>
    <w:rsid w:val="03992B9F"/>
    <w:rsid w:val="03EE65CD"/>
    <w:rsid w:val="0549369B"/>
    <w:rsid w:val="070406DA"/>
    <w:rsid w:val="07DC1CE6"/>
    <w:rsid w:val="07ED32EB"/>
    <w:rsid w:val="08B774E7"/>
    <w:rsid w:val="09690DAF"/>
    <w:rsid w:val="0A9F5573"/>
    <w:rsid w:val="0B983762"/>
    <w:rsid w:val="0CE30558"/>
    <w:rsid w:val="0D904420"/>
    <w:rsid w:val="0ED87414"/>
    <w:rsid w:val="0EE22DD3"/>
    <w:rsid w:val="0F5B03C5"/>
    <w:rsid w:val="129A3018"/>
    <w:rsid w:val="12E26117"/>
    <w:rsid w:val="13132312"/>
    <w:rsid w:val="14302B37"/>
    <w:rsid w:val="16336242"/>
    <w:rsid w:val="17EC5C9E"/>
    <w:rsid w:val="182C1E7E"/>
    <w:rsid w:val="18B96A56"/>
    <w:rsid w:val="197E19E3"/>
    <w:rsid w:val="1B8A37A4"/>
    <w:rsid w:val="1C5A45CB"/>
    <w:rsid w:val="1D3724B0"/>
    <w:rsid w:val="1D8E44CF"/>
    <w:rsid w:val="1E791323"/>
    <w:rsid w:val="1FE224DE"/>
    <w:rsid w:val="204F6DD9"/>
    <w:rsid w:val="2056049A"/>
    <w:rsid w:val="20956146"/>
    <w:rsid w:val="22DF748E"/>
    <w:rsid w:val="2434648E"/>
    <w:rsid w:val="27794892"/>
    <w:rsid w:val="2AD10C5A"/>
    <w:rsid w:val="2CEB73B4"/>
    <w:rsid w:val="30182136"/>
    <w:rsid w:val="35521431"/>
    <w:rsid w:val="35634F96"/>
    <w:rsid w:val="35D2739C"/>
    <w:rsid w:val="36B94A64"/>
    <w:rsid w:val="3769770C"/>
    <w:rsid w:val="37E02990"/>
    <w:rsid w:val="383045D4"/>
    <w:rsid w:val="383C4541"/>
    <w:rsid w:val="38B40755"/>
    <w:rsid w:val="39894373"/>
    <w:rsid w:val="39FC1A51"/>
    <w:rsid w:val="3B643161"/>
    <w:rsid w:val="3BE906F9"/>
    <w:rsid w:val="3E786FC4"/>
    <w:rsid w:val="3EB17F48"/>
    <w:rsid w:val="3EF979BF"/>
    <w:rsid w:val="40BA5E09"/>
    <w:rsid w:val="418B2D2C"/>
    <w:rsid w:val="44086CE3"/>
    <w:rsid w:val="45BA7E86"/>
    <w:rsid w:val="47BF12B9"/>
    <w:rsid w:val="481303A6"/>
    <w:rsid w:val="48A73755"/>
    <w:rsid w:val="48D6719E"/>
    <w:rsid w:val="4D913768"/>
    <w:rsid w:val="4E463F88"/>
    <w:rsid w:val="516D16FE"/>
    <w:rsid w:val="51897C1D"/>
    <w:rsid w:val="59C23329"/>
    <w:rsid w:val="5AC13FEA"/>
    <w:rsid w:val="5CD1247B"/>
    <w:rsid w:val="5D3237C8"/>
    <w:rsid w:val="60D72951"/>
    <w:rsid w:val="61B33A77"/>
    <w:rsid w:val="6222067B"/>
    <w:rsid w:val="64067541"/>
    <w:rsid w:val="66681308"/>
    <w:rsid w:val="66F352D3"/>
    <w:rsid w:val="67A3214B"/>
    <w:rsid w:val="67E407E9"/>
    <w:rsid w:val="6A312334"/>
    <w:rsid w:val="6AEC0F7A"/>
    <w:rsid w:val="6E2759A0"/>
    <w:rsid w:val="6E4F70AB"/>
    <w:rsid w:val="6E527BE0"/>
    <w:rsid w:val="6E657777"/>
    <w:rsid w:val="6F307F61"/>
    <w:rsid w:val="6F6610D1"/>
    <w:rsid w:val="6FCF45AC"/>
    <w:rsid w:val="706619C1"/>
    <w:rsid w:val="71B17955"/>
    <w:rsid w:val="71B52C96"/>
    <w:rsid w:val="72CD19C1"/>
    <w:rsid w:val="72D9366A"/>
    <w:rsid w:val="744F4270"/>
    <w:rsid w:val="74CE2209"/>
    <w:rsid w:val="76F45AB6"/>
    <w:rsid w:val="77B56F05"/>
    <w:rsid w:val="78375A5C"/>
    <w:rsid w:val="7A4B4538"/>
    <w:rsid w:val="7B260DF5"/>
    <w:rsid w:val="7E044422"/>
    <w:rsid w:val="7E5041F0"/>
    <w:rsid w:val="7E8A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仿宋_GB2312" w:asciiTheme="minorHAnsi" w:hAnsiTheme="minorHAnsi" w:cstheme="minorBidi"/>
      <w:kern w:val="2"/>
      <w:sz w:val="28"/>
      <w:szCs w:val="24"/>
      <w:lang w:val="en-US" w:eastAsia="zh-CN" w:bidi="ar-SA"/>
    </w:rPr>
  </w:style>
  <w:style w:type="paragraph" w:styleId="2">
    <w:name w:val="heading 1"/>
    <w:basedOn w:val="1"/>
    <w:next w:val="1"/>
    <w:qFormat/>
    <w:uiPriority w:val="0"/>
    <w:pPr>
      <w:keepNext/>
      <w:keepLines/>
      <w:outlineLvl w:val="0"/>
    </w:pPr>
    <w:rPr>
      <w:b/>
      <w:kern w:val="44"/>
      <w:sz w:val="32"/>
    </w:rPr>
  </w:style>
  <w:style w:type="paragraph" w:styleId="3">
    <w:name w:val="heading 2"/>
    <w:basedOn w:val="1"/>
    <w:next w:val="1"/>
    <w:unhideWhenUsed/>
    <w:qFormat/>
    <w:uiPriority w:val="0"/>
    <w:pPr>
      <w:keepNext/>
      <w:keepLines/>
      <w:spacing w:line="240" w:lineRule="auto"/>
      <w:outlineLvl w:val="1"/>
    </w:pPr>
    <w:rPr>
      <w:rFonts w:ascii="Arial" w:hAnsi="Arial"/>
      <w:b/>
    </w:rPr>
  </w:style>
  <w:style w:type="paragraph" w:styleId="4">
    <w:name w:val="heading 3"/>
    <w:basedOn w:val="1"/>
    <w:next w:val="1"/>
    <w:unhideWhenUsed/>
    <w:qFormat/>
    <w:uiPriority w:val="0"/>
    <w:pPr>
      <w:keepNext/>
      <w:keepLines/>
      <w:spacing w:line="240" w:lineRule="auto"/>
      <w:outlineLvl w:val="2"/>
    </w:pPr>
    <w:rPr>
      <w:b/>
    </w:rPr>
  </w:style>
  <w:style w:type="paragraph" w:styleId="5">
    <w:name w:val="heading 4"/>
    <w:basedOn w:val="1"/>
    <w:next w:val="1"/>
    <w:unhideWhenUsed/>
    <w:qFormat/>
    <w:uiPriority w:val="0"/>
    <w:pPr>
      <w:keepNext/>
      <w:keepLines/>
      <w:spacing w:line="240" w:lineRule="auto"/>
      <w:outlineLvl w:val="3"/>
    </w:pPr>
    <w:rPr>
      <w:rFonts w:ascii="Arial" w:hAnsi="Aria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alloon Text"/>
    <w:basedOn w:val="1"/>
    <w:link w:val="23"/>
    <w:qFormat/>
    <w:uiPriority w:val="0"/>
    <w:pPr>
      <w:spacing w:line="240" w:lineRule="auto"/>
    </w:pPr>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semiHidden/>
    <w:qFormat/>
    <w:uiPriority w:val="0"/>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paragraph" w:customStyle="1" w:styleId="19">
    <w:name w:val="￥正文"/>
    <w:basedOn w:val="1"/>
    <w:qFormat/>
    <w:uiPriority w:val="0"/>
    <w:rPr>
      <w:rFonts w:ascii="Times New Roman" w:hAnsi="Times New Roman"/>
      <w:szCs w:val="20"/>
    </w:rPr>
  </w:style>
  <w:style w:type="paragraph" w:customStyle="1" w:styleId="20">
    <w:name w:val="Body text|1"/>
    <w:basedOn w:val="1"/>
    <w:qFormat/>
    <w:uiPriority w:val="0"/>
    <w:pPr>
      <w:spacing w:after="140" w:line="403" w:lineRule="auto"/>
      <w:ind w:firstLine="400"/>
    </w:pPr>
    <w:rPr>
      <w:rFonts w:ascii="宋体" w:hAnsi="宋体" w:eastAsia="宋体" w:cs="宋体"/>
      <w:szCs w:val="28"/>
      <w:lang w:val="zh-TW" w:eastAsia="zh-TW" w:bidi="zh-TW"/>
    </w:rPr>
  </w:style>
  <w:style w:type="paragraph" w:customStyle="1" w:styleId="21">
    <w:name w:val="样式 首行缩进:  0 字符"/>
    <w:basedOn w:val="1"/>
    <w:qFormat/>
    <w:uiPriority w:val="0"/>
    <w:pPr>
      <w:ind w:firstLine="200"/>
    </w:pPr>
    <w:rPr>
      <w:rFonts w:ascii="Arial" w:hAnsi="Arial" w:cs="宋体"/>
      <w:sz w:val="24"/>
      <w:szCs w:val="20"/>
    </w:rPr>
  </w:style>
  <w:style w:type="paragraph" w:customStyle="1" w:styleId="22">
    <w:name w:val="hik-正文"/>
    <w:qFormat/>
    <w:locked/>
    <w:uiPriority w:val="0"/>
    <w:pPr>
      <w:spacing w:line="360" w:lineRule="auto"/>
      <w:ind w:firstLine="200" w:firstLineChars="200"/>
    </w:pPr>
    <w:rPr>
      <w:rFonts w:ascii="宋体" w:hAnsi="Times New Roman" w:eastAsia="宋体" w:cs="Times New Roman"/>
      <w:kern w:val="2"/>
      <w:sz w:val="24"/>
      <w:szCs w:val="24"/>
      <w:lang w:val="en-US" w:eastAsia="zh-CN" w:bidi="ar-SA"/>
    </w:rPr>
  </w:style>
  <w:style w:type="character" w:customStyle="1" w:styleId="23">
    <w:name w:val="批注框文本 Char"/>
    <w:basedOn w:val="15"/>
    <w:link w:val="7"/>
    <w:qFormat/>
    <w:uiPriority w:val="0"/>
    <w:rPr>
      <w:rFonts w:eastAsia="仿宋_GB2312" w:asciiTheme="minorHAnsi" w:hAnsiTheme="minorHAnsi"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34</Pages>
  <Words>13216</Words>
  <Characters>2880</Characters>
  <Lines>24</Lines>
  <Paragraphs>32</Paragraphs>
  <TotalTime>3</TotalTime>
  <ScaleCrop>false</ScaleCrop>
  <LinksUpToDate>false</LinksUpToDate>
  <CharactersWithSpaces>16064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2021-09-02T15:44:00Z</dcterms:created>
  <dc:creator>西风</dc:creator>
  <cp:lastModifiedBy>Administrator</cp:lastModifiedBy>
  <dcterms:modified xsi:type="dcterms:W3CDTF">2021-09-22T03:34:51Z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4956470E15164E4C97D326F66885AFDC</vt:lpwstr>
  </property>
</Properties>
</file>